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5161" w14:textId="77777777" w:rsidR="004B1119" w:rsidRDefault="004B1119" w:rsidP="00AD4534">
      <w:pPr>
        <w:ind w:right="-284"/>
        <w:jc w:val="both"/>
      </w:pPr>
    </w:p>
    <w:p w14:paraId="64E3FB02" w14:textId="77777777" w:rsidR="004B1119" w:rsidRDefault="004B1119" w:rsidP="00AD4534">
      <w:pPr>
        <w:ind w:right="-284"/>
        <w:jc w:val="both"/>
      </w:pPr>
    </w:p>
    <w:p w14:paraId="192176D6" w14:textId="77777777" w:rsidR="004B1119" w:rsidRDefault="007B660F" w:rsidP="007B660F">
      <w:pPr>
        <w:ind w:right="-284"/>
        <w:jc w:val="center"/>
      </w:pPr>
      <w:r>
        <w:rPr>
          <w:noProof/>
          <w:lang w:eastAsia="sk-SK"/>
        </w:rPr>
        <w:drawing>
          <wp:inline distT="0" distB="0" distL="0" distR="0" wp14:anchorId="199AFA21" wp14:editId="697A9296">
            <wp:extent cx="1895475" cy="923925"/>
            <wp:effectExtent l="0" t="0" r="0" b="0"/>
            <wp:docPr id="1" name="Obrázok 1" descr="SLM_logo_nove_color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 descr="SLM_logo_nove_color_RGB"/>
                    <pic:cNvPicPr>
                      <a:picLocks noChangeAspect="1" noChangeArrowheads="1"/>
                    </pic:cNvPicPr>
                  </pic:nvPicPr>
                  <pic:blipFill>
                    <a:blip r:embed="rId8">
                      <a:clrChange>
                        <a:clrFrom>
                          <a:srgbClr val="FFFFFF"/>
                        </a:clrFrom>
                        <a:clrTo>
                          <a:srgbClr val="FFFFFF">
                            <a:alpha val="0"/>
                          </a:srgbClr>
                        </a:clrTo>
                      </a:clrChange>
                      <a:duotone>
                        <a:schemeClr val="accent2">
                          <a:shade val="45000"/>
                          <a:satMod val="135000"/>
                        </a:schemeClr>
                        <a:prstClr val="white"/>
                      </a:duotone>
                    </a:blip>
                    <a:srcRect/>
                    <a:stretch>
                      <a:fillRect/>
                    </a:stretch>
                  </pic:blipFill>
                  <pic:spPr bwMode="auto">
                    <a:xfrm>
                      <a:off x="0" y="0"/>
                      <a:ext cx="1895475" cy="923925"/>
                    </a:xfrm>
                    <a:prstGeom prst="rect">
                      <a:avLst/>
                    </a:prstGeom>
                    <a:noFill/>
                    <a:ln w="9525">
                      <a:noFill/>
                      <a:miter lim="800000"/>
                      <a:headEnd/>
                      <a:tailEnd/>
                    </a:ln>
                  </pic:spPr>
                </pic:pic>
              </a:graphicData>
            </a:graphic>
          </wp:inline>
        </w:drawing>
      </w:r>
    </w:p>
    <w:p w14:paraId="33D8B3EE" w14:textId="77777777" w:rsidR="004B1119" w:rsidRDefault="004B1119" w:rsidP="00AD4534">
      <w:pPr>
        <w:ind w:right="-284"/>
        <w:jc w:val="both"/>
      </w:pPr>
    </w:p>
    <w:p w14:paraId="1B7B702E" w14:textId="77777777" w:rsidR="004B1119" w:rsidRDefault="004B1119" w:rsidP="00AD4534">
      <w:pPr>
        <w:ind w:right="-284"/>
        <w:jc w:val="both"/>
      </w:pPr>
    </w:p>
    <w:p w14:paraId="698B4975" w14:textId="77777777" w:rsidR="004B1119" w:rsidRDefault="004B1119" w:rsidP="00AD4534">
      <w:pPr>
        <w:ind w:right="-284"/>
        <w:jc w:val="both"/>
      </w:pPr>
    </w:p>
    <w:p w14:paraId="1F8E08EA" w14:textId="77777777" w:rsidR="004B1119" w:rsidRDefault="004B1119" w:rsidP="00AD4534">
      <w:pPr>
        <w:ind w:right="-284"/>
        <w:jc w:val="both"/>
        <w:rPr>
          <w:rFonts w:ascii="Calibri" w:hAnsi="Calibri" w:cs="Calibri"/>
        </w:rPr>
      </w:pPr>
    </w:p>
    <w:p w14:paraId="26F8B2B4" w14:textId="77777777" w:rsidR="007B660F" w:rsidRPr="00E02D9C" w:rsidRDefault="007B660F" w:rsidP="00AD4534">
      <w:pPr>
        <w:ind w:right="-284"/>
        <w:jc w:val="both"/>
        <w:rPr>
          <w:rFonts w:ascii="Arial" w:hAnsi="Arial" w:cs="Arial"/>
        </w:rPr>
      </w:pPr>
    </w:p>
    <w:p w14:paraId="2DEC77FC" w14:textId="60F618F0" w:rsidR="007B660F" w:rsidRPr="00E02D9C" w:rsidRDefault="00E02D9C" w:rsidP="00E02D9C">
      <w:pPr>
        <w:ind w:right="-284"/>
        <w:jc w:val="center"/>
        <w:rPr>
          <w:rFonts w:ascii="Arial" w:hAnsi="Arial" w:cs="Arial"/>
          <w:b/>
          <w:sz w:val="36"/>
          <w:szCs w:val="36"/>
        </w:rPr>
      </w:pPr>
      <w:r w:rsidRPr="00E02D9C">
        <w:rPr>
          <w:rFonts w:ascii="Arial" w:hAnsi="Arial" w:cs="Arial"/>
          <w:b/>
          <w:sz w:val="36"/>
          <w:szCs w:val="36"/>
        </w:rPr>
        <w:t>OD-01-03</w:t>
      </w:r>
    </w:p>
    <w:p w14:paraId="63C3DB28" w14:textId="77777777" w:rsidR="007B660F" w:rsidRPr="00E02D9C" w:rsidRDefault="007B660F" w:rsidP="00AD4534">
      <w:pPr>
        <w:ind w:right="-284"/>
        <w:jc w:val="both"/>
        <w:rPr>
          <w:rFonts w:ascii="Arial" w:hAnsi="Arial" w:cs="Arial"/>
        </w:rPr>
      </w:pPr>
    </w:p>
    <w:p w14:paraId="1264D790" w14:textId="77777777" w:rsidR="000723FD" w:rsidRPr="00AD4534" w:rsidRDefault="004B1119" w:rsidP="00AD4534">
      <w:pPr>
        <w:ind w:right="-284"/>
        <w:jc w:val="both"/>
        <w:rPr>
          <w:rFonts w:ascii="Arial" w:hAnsi="Arial" w:cs="Arial"/>
          <w:sz w:val="36"/>
          <w:szCs w:val="36"/>
        </w:rPr>
      </w:pPr>
      <w:r w:rsidRPr="00AD4534">
        <w:rPr>
          <w:rFonts w:ascii="Arial" w:hAnsi="Arial" w:cs="Arial"/>
          <w:sz w:val="36"/>
          <w:szCs w:val="36"/>
        </w:rPr>
        <w:t>Protikorupčný program Slovenskej legálnej metrológie, n.o.</w:t>
      </w:r>
    </w:p>
    <w:p w14:paraId="41AE6530" w14:textId="4FD9C8BA" w:rsidR="004B1119" w:rsidRPr="00F70B80" w:rsidRDefault="00E10D59" w:rsidP="00AD4534">
      <w:pPr>
        <w:ind w:right="-284"/>
        <w:jc w:val="both"/>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F70B80">
        <w:rPr>
          <w:rFonts w:ascii="Calibri" w:hAnsi="Calibri" w:cs="Calibri"/>
          <w:sz w:val="28"/>
          <w:szCs w:val="28"/>
        </w:rPr>
        <w:t>V0</w:t>
      </w:r>
      <w:r w:rsidR="009C08AF" w:rsidRPr="00F70B80">
        <w:rPr>
          <w:rFonts w:ascii="Calibri" w:hAnsi="Calibri" w:cs="Calibri"/>
          <w:sz w:val="28"/>
          <w:szCs w:val="28"/>
        </w:rPr>
        <w:t>3</w:t>
      </w:r>
      <w:r w:rsidRPr="00F70B80">
        <w:rPr>
          <w:rFonts w:ascii="Calibri" w:hAnsi="Calibri" w:cs="Calibri"/>
          <w:sz w:val="28"/>
          <w:szCs w:val="28"/>
        </w:rPr>
        <w:t>/2</w:t>
      </w:r>
      <w:r w:rsidR="009C08AF" w:rsidRPr="00F70B80">
        <w:rPr>
          <w:rFonts w:ascii="Calibri" w:hAnsi="Calibri" w:cs="Calibri"/>
          <w:sz w:val="28"/>
          <w:szCs w:val="28"/>
        </w:rPr>
        <w:t>3</w:t>
      </w:r>
      <w:r w:rsidRPr="00F70B80">
        <w:rPr>
          <w:rFonts w:ascii="Calibri" w:hAnsi="Calibri" w:cs="Calibri"/>
          <w:sz w:val="28"/>
          <w:szCs w:val="28"/>
        </w:rPr>
        <w:t>-0</w:t>
      </w:r>
      <w:r w:rsidR="009C08AF" w:rsidRPr="00F70B80">
        <w:rPr>
          <w:rFonts w:ascii="Calibri" w:hAnsi="Calibri" w:cs="Calibri"/>
          <w:sz w:val="28"/>
          <w:szCs w:val="28"/>
        </w:rPr>
        <w:t>6</w:t>
      </w:r>
      <w:r w:rsidRPr="00F70B80">
        <w:rPr>
          <w:rFonts w:ascii="Calibri" w:hAnsi="Calibri" w:cs="Calibri"/>
          <w:sz w:val="28"/>
          <w:szCs w:val="28"/>
        </w:rPr>
        <w:t>-</w:t>
      </w:r>
      <w:r w:rsidR="009C08AF" w:rsidRPr="00F70B80">
        <w:rPr>
          <w:rFonts w:ascii="Calibri" w:hAnsi="Calibri" w:cs="Calibri"/>
          <w:sz w:val="28"/>
          <w:szCs w:val="28"/>
        </w:rPr>
        <w:t>20</w:t>
      </w:r>
    </w:p>
    <w:p w14:paraId="5A6CACEA" w14:textId="77777777" w:rsidR="004B1119" w:rsidRDefault="004B1119" w:rsidP="00AD4534">
      <w:pPr>
        <w:ind w:right="-284"/>
        <w:jc w:val="both"/>
        <w:rPr>
          <w:rFonts w:ascii="Calibri" w:hAnsi="Calibri" w:cs="Calibri"/>
          <w:sz w:val="28"/>
          <w:szCs w:val="28"/>
        </w:rPr>
      </w:pPr>
    </w:p>
    <w:p w14:paraId="16327BFB" w14:textId="77777777" w:rsidR="004B1119" w:rsidRDefault="004B1119" w:rsidP="00AD4534">
      <w:pPr>
        <w:ind w:right="-284"/>
        <w:jc w:val="both"/>
        <w:rPr>
          <w:rFonts w:ascii="Calibri" w:hAnsi="Calibri" w:cs="Calibri"/>
          <w:sz w:val="28"/>
          <w:szCs w:val="28"/>
        </w:rPr>
      </w:pPr>
    </w:p>
    <w:p w14:paraId="29CB0009" w14:textId="77777777" w:rsidR="004B1119" w:rsidRDefault="004B1119" w:rsidP="00AD4534">
      <w:pPr>
        <w:ind w:right="-284"/>
        <w:jc w:val="both"/>
        <w:rPr>
          <w:rFonts w:ascii="Calibri" w:hAnsi="Calibri" w:cs="Calibri"/>
          <w:sz w:val="28"/>
          <w:szCs w:val="28"/>
        </w:rPr>
      </w:pPr>
    </w:p>
    <w:p w14:paraId="6BCD276B" w14:textId="77777777" w:rsidR="004B1119" w:rsidRDefault="004B1119" w:rsidP="00AD4534">
      <w:pPr>
        <w:ind w:right="-284"/>
        <w:jc w:val="both"/>
        <w:rPr>
          <w:rFonts w:ascii="Calibri" w:hAnsi="Calibri" w:cs="Calibri"/>
          <w:sz w:val="28"/>
          <w:szCs w:val="28"/>
        </w:rPr>
      </w:pPr>
    </w:p>
    <w:p w14:paraId="386E1F05" w14:textId="77777777" w:rsidR="004B1119" w:rsidRDefault="004B1119" w:rsidP="00AD4534">
      <w:pPr>
        <w:ind w:right="-284"/>
        <w:jc w:val="both"/>
        <w:rPr>
          <w:rFonts w:ascii="Calibri" w:hAnsi="Calibri" w:cs="Calibri"/>
          <w:sz w:val="28"/>
          <w:szCs w:val="28"/>
        </w:rPr>
      </w:pPr>
    </w:p>
    <w:p w14:paraId="73A8D310" w14:textId="77777777" w:rsidR="004B1119" w:rsidRDefault="004B1119" w:rsidP="00AD4534">
      <w:pPr>
        <w:ind w:right="-284"/>
        <w:jc w:val="both"/>
        <w:rPr>
          <w:rFonts w:ascii="Calibri" w:hAnsi="Calibri" w:cs="Calibri"/>
          <w:sz w:val="28"/>
          <w:szCs w:val="28"/>
        </w:rPr>
      </w:pPr>
    </w:p>
    <w:p w14:paraId="2EB5FB42" w14:textId="77777777" w:rsidR="004B1119" w:rsidRDefault="004B1119" w:rsidP="00AD4534">
      <w:pPr>
        <w:ind w:right="-284"/>
        <w:jc w:val="both"/>
        <w:rPr>
          <w:rFonts w:ascii="Calibri" w:hAnsi="Calibri" w:cs="Calibri"/>
          <w:sz w:val="28"/>
          <w:szCs w:val="28"/>
        </w:rPr>
      </w:pPr>
    </w:p>
    <w:p w14:paraId="1674E2EE" w14:textId="77777777" w:rsidR="004B1119" w:rsidRDefault="004B1119" w:rsidP="00AD4534">
      <w:pPr>
        <w:ind w:right="-284"/>
        <w:jc w:val="both"/>
        <w:rPr>
          <w:rFonts w:ascii="Calibri" w:hAnsi="Calibri" w:cs="Calibri"/>
          <w:sz w:val="28"/>
          <w:szCs w:val="28"/>
        </w:rPr>
      </w:pPr>
    </w:p>
    <w:p w14:paraId="1D3270AC" w14:textId="77777777" w:rsidR="004B1119" w:rsidRDefault="004B1119" w:rsidP="00AD4534">
      <w:pPr>
        <w:ind w:right="-284"/>
        <w:jc w:val="both"/>
        <w:rPr>
          <w:rFonts w:ascii="Calibri" w:hAnsi="Calibri" w:cs="Calibri"/>
          <w:sz w:val="28"/>
          <w:szCs w:val="28"/>
        </w:rPr>
      </w:pPr>
    </w:p>
    <w:p w14:paraId="33193068" w14:textId="77777777" w:rsidR="004B1119" w:rsidRDefault="004B1119" w:rsidP="00AD4534">
      <w:pPr>
        <w:ind w:right="-284"/>
        <w:jc w:val="both"/>
        <w:rPr>
          <w:rFonts w:ascii="Calibri" w:hAnsi="Calibri" w:cs="Calibri"/>
          <w:sz w:val="28"/>
          <w:szCs w:val="28"/>
        </w:rPr>
      </w:pPr>
    </w:p>
    <w:p w14:paraId="6862C8EA" w14:textId="77777777" w:rsidR="004B1119" w:rsidRDefault="004B1119" w:rsidP="00AD4534">
      <w:pPr>
        <w:ind w:right="-284"/>
        <w:jc w:val="both"/>
        <w:rPr>
          <w:rFonts w:ascii="Calibri" w:hAnsi="Calibri" w:cs="Calibri"/>
          <w:sz w:val="28"/>
          <w:szCs w:val="28"/>
        </w:rPr>
      </w:pPr>
    </w:p>
    <w:p w14:paraId="30C2AF9F" w14:textId="77777777" w:rsidR="004B1119" w:rsidRDefault="004B1119" w:rsidP="00AD4534">
      <w:pPr>
        <w:ind w:right="-284"/>
        <w:jc w:val="both"/>
        <w:rPr>
          <w:rFonts w:ascii="Calibri" w:hAnsi="Calibri" w:cs="Calibri"/>
          <w:sz w:val="28"/>
          <w:szCs w:val="28"/>
        </w:rPr>
      </w:pPr>
    </w:p>
    <w:p w14:paraId="37D82ED8" w14:textId="149E6744" w:rsidR="004B1119" w:rsidRPr="00E10D59" w:rsidRDefault="00AD4534" w:rsidP="00AD4534">
      <w:pPr>
        <w:ind w:right="-284"/>
        <w:jc w:val="both"/>
        <w:rPr>
          <w:rFonts w:ascii="Calibri" w:hAnsi="Calibri" w:cs="Calibri"/>
          <w:color w:val="2683C6" w:themeColor="accent2"/>
          <w:sz w:val="28"/>
          <w:szCs w:val="28"/>
        </w:rPr>
      </w:pPr>
      <w:r>
        <w:rPr>
          <w:rFonts w:ascii="Calibri" w:hAnsi="Calibri" w:cs="Calibri"/>
          <w:sz w:val="28"/>
          <w:szCs w:val="28"/>
        </w:rPr>
        <w:t xml:space="preserve">Banská Bystrica, </w:t>
      </w:r>
      <w:r w:rsidR="00170E73">
        <w:rPr>
          <w:rFonts w:ascii="Calibri" w:hAnsi="Calibri" w:cs="Calibri"/>
          <w:color w:val="2683C6" w:themeColor="accent2"/>
          <w:sz w:val="28"/>
          <w:szCs w:val="28"/>
        </w:rPr>
        <w:t>20</w:t>
      </w:r>
      <w:r w:rsidR="00E10D59" w:rsidRPr="00E10D59">
        <w:rPr>
          <w:rFonts w:ascii="Calibri" w:hAnsi="Calibri" w:cs="Calibri"/>
          <w:color w:val="2683C6" w:themeColor="accent2"/>
          <w:sz w:val="28"/>
          <w:szCs w:val="28"/>
        </w:rPr>
        <w:t>.</w:t>
      </w:r>
      <w:r w:rsidR="00170E73">
        <w:rPr>
          <w:rFonts w:ascii="Calibri" w:hAnsi="Calibri" w:cs="Calibri"/>
          <w:color w:val="2683C6" w:themeColor="accent2"/>
          <w:sz w:val="28"/>
          <w:szCs w:val="28"/>
        </w:rPr>
        <w:t>06</w:t>
      </w:r>
      <w:r w:rsidR="00E10D59" w:rsidRPr="00E10D59">
        <w:rPr>
          <w:rFonts w:ascii="Calibri" w:hAnsi="Calibri" w:cs="Calibri"/>
          <w:color w:val="2683C6" w:themeColor="accent2"/>
          <w:sz w:val="28"/>
          <w:szCs w:val="28"/>
        </w:rPr>
        <w:t>.202</w:t>
      </w:r>
      <w:r w:rsidR="00170E73">
        <w:rPr>
          <w:rFonts w:ascii="Calibri" w:hAnsi="Calibri" w:cs="Calibri"/>
          <w:color w:val="2683C6" w:themeColor="accent2"/>
          <w:sz w:val="28"/>
          <w:szCs w:val="28"/>
        </w:rPr>
        <w:t>3</w:t>
      </w:r>
    </w:p>
    <w:p w14:paraId="49268E8D" w14:textId="77777777" w:rsidR="004B1119" w:rsidRPr="00C90E91" w:rsidRDefault="004B1119" w:rsidP="00AD4534">
      <w:pPr>
        <w:ind w:right="-284"/>
        <w:jc w:val="both"/>
        <w:rPr>
          <w:rFonts w:ascii="Calibri" w:hAnsi="Calibri" w:cs="Calibri"/>
          <w:color w:val="1C6194" w:themeColor="accent2" w:themeShade="BF"/>
          <w:sz w:val="40"/>
          <w:szCs w:val="40"/>
        </w:rPr>
      </w:pPr>
      <w:r w:rsidRPr="00C90E91">
        <w:rPr>
          <w:rFonts w:ascii="Calibri" w:hAnsi="Calibri" w:cs="Calibri"/>
          <w:color w:val="1C6194" w:themeColor="accent2" w:themeShade="BF"/>
          <w:sz w:val="40"/>
          <w:szCs w:val="40"/>
        </w:rPr>
        <w:lastRenderedPageBreak/>
        <w:t>Ú</w:t>
      </w:r>
      <w:r w:rsidR="00C90E91">
        <w:rPr>
          <w:rFonts w:ascii="Calibri" w:hAnsi="Calibri" w:cs="Calibri"/>
          <w:color w:val="1C6194" w:themeColor="accent2" w:themeShade="BF"/>
          <w:sz w:val="40"/>
          <w:szCs w:val="40"/>
        </w:rPr>
        <w:t>VOD</w:t>
      </w:r>
    </w:p>
    <w:p w14:paraId="6737A00C" w14:textId="77777777" w:rsidR="004B1119" w:rsidRPr="00C90E91" w:rsidRDefault="004B1119" w:rsidP="00AD4534">
      <w:pPr>
        <w:ind w:right="-284"/>
        <w:jc w:val="both"/>
        <w:rPr>
          <w:rFonts w:ascii="Arial" w:hAnsi="Arial" w:cs="Arial"/>
          <w:color w:val="000000"/>
          <w:sz w:val="24"/>
          <w:szCs w:val="24"/>
          <w:shd w:val="clear" w:color="auto" w:fill="FFFFFF"/>
        </w:rPr>
      </w:pPr>
      <w:r w:rsidRPr="00C90E91">
        <w:rPr>
          <w:rFonts w:ascii="Arial" w:hAnsi="Arial" w:cs="Arial"/>
          <w:color w:val="000000"/>
          <w:sz w:val="24"/>
          <w:szCs w:val="24"/>
          <w:shd w:val="clear" w:color="auto" w:fill="FFFFFF"/>
        </w:rPr>
        <w:t>Vláda Slovenskej republiky 12. decembra 2018 prijala uznesenie č. 585/2018, ktorým schválila </w:t>
      </w:r>
      <w:r w:rsidRPr="00C90E91">
        <w:rPr>
          <w:rStyle w:val="Vrazn"/>
          <w:rFonts w:ascii="Arial" w:hAnsi="Arial" w:cs="Arial"/>
          <w:color w:val="000000"/>
          <w:sz w:val="24"/>
          <w:szCs w:val="24"/>
          <w:shd w:val="clear" w:color="auto" w:fill="FFFFFF"/>
        </w:rPr>
        <w:t>Protikorupčnú politiku Slovenskej republiky na roky 2019 – 2023.</w:t>
      </w:r>
      <w:r w:rsidRPr="00C90E91">
        <w:rPr>
          <w:rFonts w:ascii="Arial" w:hAnsi="Arial" w:cs="Arial"/>
          <w:color w:val="000000"/>
          <w:sz w:val="24"/>
          <w:szCs w:val="24"/>
          <w:shd w:val="clear" w:color="auto" w:fill="FFFFFF"/>
        </w:rPr>
        <w:t> Materiál komplexne upravuje protikorupčnú politiku SR a zdokonaľuje systém protikorupčnej prevencie. Reaguje na aktuálne výzvy a protikorupčné trendy v slovenskej spoločnosti a</w:t>
      </w:r>
      <w:r w:rsidR="00EC5764">
        <w:rPr>
          <w:rFonts w:ascii="Arial" w:hAnsi="Arial" w:cs="Arial"/>
          <w:color w:val="000000"/>
          <w:sz w:val="24"/>
          <w:szCs w:val="24"/>
          <w:shd w:val="clear" w:color="auto" w:fill="FFFFFF"/>
        </w:rPr>
        <w:t> </w:t>
      </w:r>
      <w:r w:rsidRPr="00C90E91">
        <w:rPr>
          <w:rFonts w:ascii="Arial" w:hAnsi="Arial" w:cs="Arial"/>
          <w:color w:val="000000"/>
          <w:sz w:val="24"/>
          <w:szCs w:val="24"/>
          <w:shd w:val="clear" w:color="auto" w:fill="FFFFFF"/>
        </w:rPr>
        <w:t>taktiež využíva medzinárodné skúsenosti v oblasti boja proti korupcii.  Ambíciou je nahradiť formalistický, resp. úradnícky prístup k zápasu s korupciou prístupom, ktorý kladie dôraz na dosiahnutú účinnosť protikorupčných opatrení.</w:t>
      </w:r>
    </w:p>
    <w:p w14:paraId="5C03CA9E" w14:textId="77777777" w:rsidR="006446BE" w:rsidRPr="00C90E91" w:rsidRDefault="004B1119" w:rsidP="00AD4534">
      <w:pPr>
        <w:ind w:right="-284"/>
        <w:jc w:val="both"/>
        <w:rPr>
          <w:rFonts w:ascii="Arial" w:hAnsi="Arial" w:cs="Arial"/>
          <w:color w:val="000000"/>
          <w:sz w:val="24"/>
          <w:szCs w:val="24"/>
          <w:shd w:val="clear" w:color="auto" w:fill="FFFFFF"/>
        </w:rPr>
      </w:pPr>
      <w:r w:rsidRPr="00C90E91">
        <w:rPr>
          <w:rFonts w:ascii="Arial" w:hAnsi="Arial" w:cs="Arial"/>
          <w:color w:val="000000"/>
          <w:sz w:val="24"/>
          <w:szCs w:val="24"/>
          <w:shd w:val="clear" w:color="auto" w:fill="FFFFFF"/>
        </w:rPr>
        <w:t xml:space="preserve">Protikorupčný program Slovenskej legálnej metrológie, n.o.  nadväzuje na  Protikorupčný program ÚNMS SR a je nástrojom na posilňovanie a presadzovanie protikorupčnej kultúry a zdokonalenie riadenia a rozpoznávania korupčných rizík v podmienkach SLM. Pri jeho príprave </w:t>
      </w:r>
      <w:r w:rsidR="00691304" w:rsidRPr="00C90E91">
        <w:rPr>
          <w:rFonts w:ascii="Arial" w:hAnsi="Arial" w:cs="Arial"/>
          <w:color w:val="000000"/>
          <w:sz w:val="24"/>
          <w:szCs w:val="24"/>
          <w:shd w:val="clear" w:color="auto" w:fill="FFFFFF"/>
        </w:rPr>
        <w:t xml:space="preserve">sa postupovalo v súlade s osnovou Protikorupčného programu ÚNMS SR a pri stanovení Protikorupčných opatrení sa vychádzalo z opatrení stanovených ÚNMS SR. </w:t>
      </w:r>
      <w:r w:rsidRPr="00C90E91">
        <w:rPr>
          <w:rFonts w:ascii="Arial" w:hAnsi="Arial" w:cs="Arial"/>
          <w:color w:val="000000"/>
          <w:sz w:val="24"/>
          <w:szCs w:val="24"/>
          <w:shd w:val="clear" w:color="auto" w:fill="FFFFFF"/>
        </w:rPr>
        <w:t xml:space="preserve">Vo svojom protikorupčnom programe SLM </w:t>
      </w:r>
      <w:r w:rsidR="00691304" w:rsidRPr="00C90E91">
        <w:rPr>
          <w:rFonts w:ascii="Arial" w:hAnsi="Arial" w:cs="Arial"/>
          <w:color w:val="000000"/>
          <w:sz w:val="24"/>
          <w:szCs w:val="24"/>
          <w:shd w:val="clear" w:color="auto" w:fill="FFFFFF"/>
        </w:rPr>
        <w:t xml:space="preserve">zohľadňuje predpoklad, že účinné predchádzanie korupcii je omnoho hospodárnejšie, než samotný proces riešenia prípadov, keď korupcia už vznikne. </w:t>
      </w:r>
    </w:p>
    <w:p w14:paraId="1880FC92" w14:textId="77777777" w:rsidR="004B1119" w:rsidRPr="00C90E91" w:rsidRDefault="006446BE" w:rsidP="00AD4534">
      <w:pPr>
        <w:ind w:right="-284"/>
        <w:jc w:val="both"/>
        <w:rPr>
          <w:rFonts w:ascii="Arial" w:hAnsi="Arial" w:cs="Arial"/>
          <w:color w:val="000000"/>
          <w:sz w:val="24"/>
          <w:szCs w:val="24"/>
          <w:shd w:val="clear" w:color="auto" w:fill="FFFFFF"/>
        </w:rPr>
      </w:pPr>
      <w:r w:rsidRPr="00C90E91">
        <w:rPr>
          <w:rFonts w:ascii="Arial" w:hAnsi="Arial" w:cs="Arial"/>
          <w:color w:val="000000"/>
          <w:sz w:val="24"/>
          <w:szCs w:val="24"/>
          <w:shd w:val="clear" w:color="auto" w:fill="FFFFFF"/>
        </w:rPr>
        <w:t>SLM p</w:t>
      </w:r>
      <w:r w:rsidR="004B1119" w:rsidRPr="00C90E91">
        <w:rPr>
          <w:rFonts w:ascii="Arial" w:hAnsi="Arial" w:cs="Arial"/>
          <w:color w:val="000000"/>
          <w:sz w:val="24"/>
          <w:szCs w:val="24"/>
          <w:shd w:val="clear" w:color="auto" w:fill="FFFFFF"/>
        </w:rPr>
        <w:t xml:space="preserve">osudzuje a vyhodnocuje existujúce korupčné riziká a zavádza konkrétne systémové opatrenia zamerané na prevenciu korupcie a podporu protikorupčného správania na </w:t>
      </w:r>
      <w:r w:rsidRPr="00C90E91">
        <w:rPr>
          <w:rFonts w:ascii="Arial" w:hAnsi="Arial" w:cs="Arial"/>
          <w:color w:val="000000"/>
          <w:sz w:val="24"/>
          <w:szCs w:val="24"/>
          <w:shd w:val="clear" w:color="auto" w:fill="FFFFFF"/>
        </w:rPr>
        <w:t xml:space="preserve">všetkých úrovniach, úsekoch, odboroch či pracoviskách </w:t>
      </w:r>
      <w:r w:rsidR="004B1119" w:rsidRPr="00C90E91">
        <w:rPr>
          <w:rFonts w:ascii="Arial" w:hAnsi="Arial" w:cs="Arial"/>
          <w:color w:val="000000"/>
          <w:sz w:val="24"/>
          <w:szCs w:val="24"/>
          <w:shd w:val="clear" w:color="auto" w:fill="FFFFFF"/>
        </w:rPr>
        <w:t>SLM</w:t>
      </w:r>
      <w:r w:rsidRPr="00C90E91">
        <w:rPr>
          <w:rFonts w:ascii="Arial" w:hAnsi="Arial" w:cs="Arial"/>
          <w:color w:val="000000"/>
          <w:sz w:val="24"/>
          <w:szCs w:val="24"/>
          <w:shd w:val="clear" w:color="auto" w:fill="FFFFFF"/>
        </w:rPr>
        <w:t>.</w:t>
      </w:r>
    </w:p>
    <w:p w14:paraId="27663978" w14:textId="77777777" w:rsidR="00691304" w:rsidRPr="00C90E91" w:rsidRDefault="00691304" w:rsidP="00AD4534">
      <w:pPr>
        <w:ind w:right="-284"/>
        <w:jc w:val="both"/>
        <w:rPr>
          <w:rFonts w:ascii="Arial" w:hAnsi="Arial" w:cs="Arial"/>
          <w:color w:val="000000"/>
          <w:sz w:val="24"/>
          <w:szCs w:val="24"/>
          <w:shd w:val="clear" w:color="auto" w:fill="FFFFFF"/>
        </w:rPr>
      </w:pPr>
      <w:r w:rsidRPr="00C90E91">
        <w:rPr>
          <w:rFonts w:ascii="Arial" w:hAnsi="Arial" w:cs="Arial"/>
          <w:color w:val="000000"/>
          <w:sz w:val="24"/>
          <w:szCs w:val="24"/>
          <w:shd w:val="clear" w:color="auto" w:fill="FFFFFF"/>
        </w:rPr>
        <w:t xml:space="preserve">Adresátmi tohto protikorupčného programu sú zamestnanci </w:t>
      </w:r>
      <w:r w:rsidR="006446BE" w:rsidRPr="00C90E91">
        <w:rPr>
          <w:rFonts w:ascii="Arial" w:hAnsi="Arial" w:cs="Arial"/>
          <w:color w:val="000000"/>
          <w:sz w:val="24"/>
          <w:szCs w:val="24"/>
          <w:shd w:val="clear" w:color="auto" w:fill="FFFFFF"/>
        </w:rPr>
        <w:t xml:space="preserve">SLM. </w:t>
      </w:r>
      <w:r w:rsidRPr="00C90E91">
        <w:rPr>
          <w:rFonts w:ascii="Arial" w:hAnsi="Arial" w:cs="Arial"/>
          <w:color w:val="000000"/>
          <w:sz w:val="24"/>
          <w:szCs w:val="24"/>
          <w:shd w:val="clear" w:color="auto" w:fill="FFFFFF"/>
        </w:rPr>
        <w:t>Účelom je poskytnúť im súbor konkrétnych krokov na predchádzanie korupcii, najmä prostredníctvom riadenia korupčných rizík a zmenšovania priestoru na ich vznik a</w:t>
      </w:r>
      <w:r w:rsidR="006446BE" w:rsidRPr="00C90E91">
        <w:rPr>
          <w:rFonts w:ascii="Arial" w:hAnsi="Arial" w:cs="Arial"/>
          <w:color w:val="000000"/>
          <w:sz w:val="24"/>
          <w:szCs w:val="24"/>
          <w:shd w:val="clear" w:color="auto" w:fill="FFFFFF"/>
        </w:rPr>
        <w:t> </w:t>
      </w:r>
      <w:r w:rsidRPr="00C90E91">
        <w:rPr>
          <w:rFonts w:ascii="Arial" w:hAnsi="Arial" w:cs="Arial"/>
          <w:color w:val="000000"/>
          <w:sz w:val="24"/>
          <w:szCs w:val="24"/>
          <w:shd w:val="clear" w:color="auto" w:fill="FFFFFF"/>
        </w:rPr>
        <w:t>existenciu</w:t>
      </w:r>
      <w:r w:rsidR="006446BE" w:rsidRPr="00C90E91">
        <w:rPr>
          <w:rFonts w:ascii="Arial" w:hAnsi="Arial" w:cs="Arial"/>
          <w:color w:val="000000"/>
          <w:sz w:val="24"/>
          <w:szCs w:val="24"/>
          <w:shd w:val="clear" w:color="auto" w:fill="FFFFFF"/>
        </w:rPr>
        <w:t>.</w:t>
      </w:r>
    </w:p>
    <w:p w14:paraId="17B76E90" w14:textId="77777777" w:rsidR="00C90E91" w:rsidRDefault="00C90E91" w:rsidP="00AD4534">
      <w:pPr>
        <w:pStyle w:val="Default"/>
        <w:ind w:right="-284"/>
        <w:jc w:val="both"/>
        <w:rPr>
          <w:rFonts w:ascii="Calibri" w:hAnsi="Calibri" w:cs="Calibri"/>
          <w:color w:val="1C6194" w:themeColor="accent2" w:themeShade="BF"/>
          <w:sz w:val="40"/>
          <w:szCs w:val="40"/>
        </w:rPr>
      </w:pPr>
    </w:p>
    <w:p w14:paraId="7319461A" w14:textId="77777777" w:rsidR="006446BE" w:rsidRPr="00C90E91" w:rsidRDefault="00C90E91" w:rsidP="00AD4534">
      <w:pPr>
        <w:pStyle w:val="Default"/>
        <w:ind w:right="-284"/>
        <w:jc w:val="both"/>
        <w:rPr>
          <w:rFonts w:ascii="Calibri" w:hAnsi="Calibri" w:cs="Calibri"/>
          <w:color w:val="1C6194" w:themeColor="accent2" w:themeShade="BF"/>
          <w:sz w:val="40"/>
          <w:szCs w:val="40"/>
        </w:rPr>
      </w:pPr>
      <w:r>
        <w:rPr>
          <w:rFonts w:ascii="Calibri" w:hAnsi="Calibri" w:cs="Calibri"/>
          <w:color w:val="1C6194" w:themeColor="accent2" w:themeShade="BF"/>
          <w:sz w:val="40"/>
          <w:szCs w:val="40"/>
        </w:rPr>
        <w:t>POUŽITÉ SKRATKY</w:t>
      </w:r>
    </w:p>
    <w:p w14:paraId="2BA351B3" w14:textId="77777777" w:rsidR="006446BE" w:rsidRDefault="006446BE" w:rsidP="00AD4534">
      <w:pPr>
        <w:pStyle w:val="Default"/>
        <w:ind w:right="-284"/>
        <w:jc w:val="both"/>
        <w:rPr>
          <w:sz w:val="23"/>
          <w:szCs w:val="23"/>
        </w:rPr>
      </w:pPr>
    </w:p>
    <w:p w14:paraId="33821C6A" w14:textId="77777777" w:rsidR="006446BE" w:rsidRDefault="006446BE" w:rsidP="00AD4534">
      <w:pPr>
        <w:pStyle w:val="Default"/>
        <w:spacing w:line="259" w:lineRule="auto"/>
        <w:ind w:right="-284"/>
        <w:jc w:val="both"/>
      </w:pPr>
      <w:r w:rsidRPr="00C90E91">
        <w:t xml:space="preserve">EK </w:t>
      </w:r>
      <w:r w:rsidR="00C90E91">
        <w:tab/>
      </w:r>
      <w:r w:rsidR="00C90E91">
        <w:tab/>
      </w:r>
      <w:r w:rsidR="00C90E91">
        <w:tab/>
      </w:r>
      <w:r w:rsidRPr="00C90E91">
        <w:t xml:space="preserve">Európska komisia </w:t>
      </w:r>
    </w:p>
    <w:p w14:paraId="2188E6ED" w14:textId="77777777" w:rsidR="0036509F" w:rsidRPr="00C90E91" w:rsidRDefault="0036509F" w:rsidP="00AD4534">
      <w:pPr>
        <w:pStyle w:val="Default"/>
        <w:spacing w:line="259" w:lineRule="auto"/>
        <w:ind w:right="-284"/>
        <w:jc w:val="both"/>
      </w:pPr>
      <w:r>
        <w:t>EŠIF</w:t>
      </w:r>
      <w:r>
        <w:tab/>
      </w:r>
      <w:r>
        <w:tab/>
      </w:r>
      <w:r>
        <w:tab/>
        <w:t>Európske štrukturálne a európske fondy</w:t>
      </w:r>
    </w:p>
    <w:p w14:paraId="1C0FD277" w14:textId="77777777" w:rsidR="006446BE" w:rsidRPr="00C90E91" w:rsidRDefault="006446BE" w:rsidP="00AD4534">
      <w:pPr>
        <w:pStyle w:val="Default"/>
        <w:spacing w:line="259" w:lineRule="auto"/>
        <w:ind w:right="-284"/>
        <w:jc w:val="both"/>
      </w:pPr>
      <w:r w:rsidRPr="00C90E91">
        <w:t xml:space="preserve">EÚ </w:t>
      </w:r>
      <w:r w:rsidR="00C90E91">
        <w:tab/>
      </w:r>
      <w:r w:rsidR="00C90E91">
        <w:tab/>
      </w:r>
      <w:r w:rsidR="00C90E91">
        <w:tab/>
      </w:r>
      <w:r w:rsidRPr="00C90E91">
        <w:t xml:space="preserve">Európska únia </w:t>
      </w:r>
    </w:p>
    <w:p w14:paraId="2609D3D5" w14:textId="77777777" w:rsidR="006446BE" w:rsidRPr="00C90E91" w:rsidRDefault="006446BE" w:rsidP="00AD4534">
      <w:pPr>
        <w:pStyle w:val="Default"/>
        <w:spacing w:line="259" w:lineRule="auto"/>
        <w:ind w:right="-284"/>
        <w:jc w:val="both"/>
      </w:pPr>
      <w:r w:rsidRPr="00C90E91">
        <w:t xml:space="preserve">OECD </w:t>
      </w:r>
      <w:r w:rsidR="00C90E91">
        <w:tab/>
      </w:r>
      <w:r w:rsidR="00C90E91">
        <w:tab/>
      </w:r>
      <w:r w:rsidRPr="00C90E91">
        <w:t xml:space="preserve">Organizácia pre hospodársku spoluprácu a rozvoj </w:t>
      </w:r>
    </w:p>
    <w:p w14:paraId="6210597C" w14:textId="77777777" w:rsidR="006446BE" w:rsidRPr="00C90E91" w:rsidRDefault="006446BE" w:rsidP="00AD4534">
      <w:pPr>
        <w:pStyle w:val="Default"/>
        <w:spacing w:line="259" w:lineRule="auto"/>
        <w:ind w:left="2127" w:right="-284" w:hanging="2127"/>
        <w:jc w:val="both"/>
      </w:pPr>
      <w:r w:rsidRPr="00C90E91">
        <w:t xml:space="preserve">PKP </w:t>
      </w:r>
      <w:r w:rsidR="00A754F9">
        <w:t>SLM</w:t>
      </w:r>
      <w:r w:rsidRPr="00C90E91">
        <w:t xml:space="preserve"> </w:t>
      </w:r>
      <w:r w:rsidR="00C90E91">
        <w:tab/>
      </w:r>
      <w:r w:rsidRPr="00C90E91">
        <w:t xml:space="preserve">Protikorupčný program </w:t>
      </w:r>
      <w:r w:rsidR="00A754F9">
        <w:t>Slovenskej legálnej metrológie, n.o.</w:t>
      </w:r>
    </w:p>
    <w:p w14:paraId="2845D259" w14:textId="77777777" w:rsidR="006446BE" w:rsidRPr="00C90E91" w:rsidRDefault="006446BE" w:rsidP="00AD4534">
      <w:pPr>
        <w:pStyle w:val="Default"/>
        <w:spacing w:line="259" w:lineRule="auto"/>
        <w:ind w:right="-284"/>
        <w:jc w:val="both"/>
      </w:pPr>
      <w:r w:rsidRPr="00C90E91">
        <w:t xml:space="preserve">SLM </w:t>
      </w:r>
      <w:r w:rsidR="00C90E91">
        <w:tab/>
      </w:r>
      <w:r w:rsidR="00C90E91">
        <w:tab/>
      </w:r>
      <w:r w:rsidR="00C90E91">
        <w:tab/>
      </w:r>
      <w:r w:rsidRPr="00C90E91">
        <w:t>Slovenská legálna metrológia, n.o.</w:t>
      </w:r>
    </w:p>
    <w:p w14:paraId="19A3742E" w14:textId="77777777" w:rsidR="006446BE" w:rsidRPr="00C90E91" w:rsidRDefault="006446BE" w:rsidP="00AD4534">
      <w:pPr>
        <w:pStyle w:val="Default"/>
        <w:spacing w:line="259" w:lineRule="auto"/>
        <w:ind w:right="-284"/>
        <w:jc w:val="both"/>
      </w:pPr>
      <w:r w:rsidRPr="00C90E91">
        <w:t xml:space="preserve">SR </w:t>
      </w:r>
      <w:r w:rsidR="00C90E91">
        <w:tab/>
      </w:r>
      <w:r w:rsidR="00C90E91">
        <w:tab/>
      </w:r>
      <w:r w:rsidR="00C90E91">
        <w:tab/>
      </w:r>
      <w:r w:rsidRPr="00C90E91">
        <w:t xml:space="preserve">Slovenská republika </w:t>
      </w:r>
    </w:p>
    <w:p w14:paraId="2EACC601" w14:textId="77777777" w:rsidR="006446BE" w:rsidRPr="00C90E91" w:rsidRDefault="006446BE" w:rsidP="00AD4534">
      <w:pPr>
        <w:spacing w:after="0"/>
        <w:ind w:right="-284"/>
        <w:jc w:val="both"/>
        <w:rPr>
          <w:rFonts w:ascii="Arial" w:hAnsi="Arial" w:cs="Arial"/>
          <w:sz w:val="24"/>
          <w:szCs w:val="24"/>
        </w:rPr>
      </w:pPr>
      <w:r w:rsidRPr="00C90E91">
        <w:rPr>
          <w:rFonts w:ascii="Arial" w:hAnsi="Arial" w:cs="Arial"/>
          <w:sz w:val="24"/>
          <w:szCs w:val="24"/>
        </w:rPr>
        <w:t>TZ zákon č. 300/2005 Z. z. Trestný zákon v znení neskorších predpisov</w:t>
      </w:r>
    </w:p>
    <w:p w14:paraId="3534DE2B" w14:textId="77777777" w:rsidR="00C90E91" w:rsidRPr="00C90E91" w:rsidRDefault="006446BE" w:rsidP="00AD4534">
      <w:pPr>
        <w:spacing w:after="0"/>
        <w:ind w:right="-284"/>
        <w:jc w:val="both"/>
        <w:rPr>
          <w:rFonts w:ascii="Arial" w:hAnsi="Arial" w:cs="Arial"/>
          <w:sz w:val="24"/>
          <w:szCs w:val="24"/>
        </w:rPr>
      </w:pPr>
      <w:r w:rsidRPr="00C90E91">
        <w:rPr>
          <w:rFonts w:ascii="Arial" w:hAnsi="Arial" w:cs="Arial"/>
          <w:sz w:val="24"/>
          <w:szCs w:val="24"/>
        </w:rPr>
        <w:t xml:space="preserve">ÚMNS SR </w:t>
      </w:r>
      <w:r w:rsidR="00C90E91">
        <w:rPr>
          <w:rFonts w:ascii="Arial" w:hAnsi="Arial" w:cs="Arial"/>
          <w:sz w:val="24"/>
          <w:szCs w:val="24"/>
        </w:rPr>
        <w:tab/>
      </w:r>
      <w:r w:rsidR="00C90E91">
        <w:rPr>
          <w:rFonts w:ascii="Arial" w:hAnsi="Arial" w:cs="Arial"/>
          <w:sz w:val="24"/>
          <w:szCs w:val="24"/>
        </w:rPr>
        <w:tab/>
      </w:r>
      <w:r w:rsidRPr="00C90E91">
        <w:rPr>
          <w:rFonts w:ascii="Arial" w:hAnsi="Arial" w:cs="Arial"/>
          <w:sz w:val="24"/>
          <w:szCs w:val="24"/>
        </w:rPr>
        <w:t>Úrad pre normalizáciu, metrológiu a skúšobníctvo SR</w:t>
      </w:r>
    </w:p>
    <w:p w14:paraId="483BEE3D" w14:textId="77777777" w:rsidR="00C90E91" w:rsidRDefault="00C90E91" w:rsidP="00AD4534">
      <w:pPr>
        <w:ind w:right="-284"/>
        <w:jc w:val="both"/>
        <w:rPr>
          <w:rFonts w:ascii="Calibri" w:hAnsi="Calibri" w:cs="Calibri"/>
          <w:color w:val="1C6194" w:themeColor="accent2" w:themeShade="BF"/>
          <w:sz w:val="40"/>
          <w:szCs w:val="40"/>
        </w:rPr>
      </w:pPr>
    </w:p>
    <w:p w14:paraId="3E2F731A" w14:textId="77777777" w:rsidR="00403C57" w:rsidRDefault="00403C57" w:rsidP="00AD4534">
      <w:pPr>
        <w:ind w:right="-284"/>
        <w:jc w:val="both"/>
        <w:rPr>
          <w:rFonts w:ascii="Calibri" w:hAnsi="Calibri" w:cs="Calibri"/>
          <w:color w:val="1C6194" w:themeColor="accent2" w:themeShade="BF"/>
          <w:sz w:val="40"/>
          <w:szCs w:val="40"/>
        </w:rPr>
      </w:pPr>
    </w:p>
    <w:p w14:paraId="3D5F7739" w14:textId="77777777" w:rsidR="0036509F" w:rsidRDefault="0036509F" w:rsidP="00AD4534">
      <w:pPr>
        <w:ind w:right="-284"/>
        <w:jc w:val="both"/>
        <w:rPr>
          <w:rFonts w:ascii="Calibri" w:hAnsi="Calibri" w:cs="Calibri"/>
          <w:color w:val="1C6194" w:themeColor="accent2" w:themeShade="BF"/>
          <w:sz w:val="40"/>
          <w:szCs w:val="40"/>
        </w:rPr>
      </w:pPr>
    </w:p>
    <w:p w14:paraId="126DAA30" w14:textId="77777777" w:rsidR="00C90E91" w:rsidRPr="00C90E91" w:rsidRDefault="00C90E91" w:rsidP="00AD4534">
      <w:pPr>
        <w:ind w:right="-284"/>
        <w:jc w:val="both"/>
        <w:rPr>
          <w:rFonts w:ascii="Arial" w:hAnsi="Arial" w:cs="Arial"/>
          <w:color w:val="000000"/>
          <w:shd w:val="clear" w:color="auto" w:fill="FFFFFF"/>
        </w:rPr>
      </w:pPr>
      <w:r>
        <w:rPr>
          <w:rFonts w:ascii="Calibri" w:hAnsi="Calibri" w:cs="Calibri"/>
          <w:color w:val="1C6194" w:themeColor="accent2" w:themeShade="BF"/>
          <w:sz w:val="40"/>
          <w:szCs w:val="40"/>
        </w:rPr>
        <w:lastRenderedPageBreak/>
        <w:t>VYMEDZENIE POJMOV</w:t>
      </w:r>
    </w:p>
    <w:p w14:paraId="1426BD2C" w14:textId="77777777" w:rsidR="00C90E91" w:rsidRPr="00E96230" w:rsidRDefault="00C90E91" w:rsidP="00AD4534">
      <w:pPr>
        <w:pStyle w:val="Default"/>
        <w:ind w:right="-284"/>
        <w:jc w:val="both"/>
      </w:pPr>
      <w:r w:rsidRPr="00E96230">
        <w:t xml:space="preserve">Na účely </w:t>
      </w:r>
      <w:r w:rsidR="00FF7CFF">
        <w:t>Protikorupčného programu SLM</w:t>
      </w:r>
      <w:r w:rsidRPr="00E96230">
        <w:t xml:space="preserve"> sa vymedzujú nasledujúce pojmy:</w:t>
      </w:r>
    </w:p>
    <w:p w14:paraId="2D33EA45" w14:textId="77777777" w:rsidR="00C90E91" w:rsidRPr="00E96230" w:rsidRDefault="00C90E91" w:rsidP="00AD4534">
      <w:pPr>
        <w:pStyle w:val="Default"/>
        <w:ind w:right="-284"/>
        <w:jc w:val="both"/>
      </w:pPr>
      <w:r w:rsidRPr="00E96230">
        <w:t xml:space="preserve"> </w:t>
      </w:r>
    </w:p>
    <w:p w14:paraId="3BAF3621" w14:textId="77777777" w:rsidR="00C90E91" w:rsidRPr="00E96230" w:rsidRDefault="00C90E91" w:rsidP="00AD4534">
      <w:pPr>
        <w:pStyle w:val="Default"/>
        <w:ind w:right="-284"/>
        <w:jc w:val="both"/>
      </w:pPr>
      <w:r w:rsidRPr="00E96230">
        <w:rPr>
          <w:b/>
          <w:bCs/>
        </w:rPr>
        <w:t xml:space="preserve">Korupcia </w:t>
      </w:r>
    </w:p>
    <w:p w14:paraId="4BBC5A64" w14:textId="77777777" w:rsidR="00C90E91" w:rsidRPr="00E96230" w:rsidRDefault="00C90E91" w:rsidP="00AD4534">
      <w:pPr>
        <w:pStyle w:val="Default"/>
        <w:spacing w:line="259" w:lineRule="auto"/>
        <w:ind w:right="-284"/>
        <w:jc w:val="both"/>
      </w:pPr>
      <w:r w:rsidRPr="00E96230">
        <w:t>Vymedzenie pojmu korupcia ako zneužitie moci alebo postavenia vo vlastný prospech alebo v prospech iných osôb sa opiera o Dohovor OSN proti korupcii.</w:t>
      </w:r>
      <w:r w:rsidRPr="00E96230">
        <w:rPr>
          <w:rStyle w:val="Odkaznapoznmkupodiarou"/>
        </w:rPr>
        <w:footnoteReference w:id="1"/>
      </w:r>
      <w:r w:rsidRPr="00E96230">
        <w:t xml:space="preserve"> Podobne aj EK v</w:t>
      </w:r>
      <w:r w:rsidR="00FF7CFF">
        <w:t> </w:t>
      </w:r>
      <w:r w:rsidRPr="00E96230">
        <w:t>súvislosti s EŠIF používa všeobecné vymedzenie pojmu korupcia, ktorú vníma ako „zneužitie (verejného) postavenia na osobný prospech“.</w:t>
      </w:r>
      <w:r w:rsidRPr="00E96230">
        <w:rPr>
          <w:rStyle w:val="Odkaznapoznmkupodiarou"/>
        </w:rPr>
        <w:footnoteReference w:id="2"/>
      </w:r>
      <w:r w:rsidRPr="00E96230">
        <w:t xml:space="preserve"> Zdôrazňuje, že korupčnými platbami či transakciami sa napomáha mnohým ďalším druhom podvodov, ako sú napríklad falošné fakturácie, fiktívne výdavky alebo neplnenie zmluvných záväzkov. </w:t>
      </w:r>
    </w:p>
    <w:p w14:paraId="13E49655" w14:textId="77777777" w:rsidR="004B1119" w:rsidRDefault="00C90E91" w:rsidP="00AD4534">
      <w:pPr>
        <w:spacing w:after="0"/>
        <w:ind w:right="-284"/>
        <w:jc w:val="both"/>
        <w:rPr>
          <w:rFonts w:ascii="Arial" w:hAnsi="Arial" w:cs="Arial"/>
          <w:sz w:val="24"/>
          <w:szCs w:val="24"/>
        </w:rPr>
      </w:pPr>
      <w:r w:rsidRPr="00E96230">
        <w:rPr>
          <w:rFonts w:ascii="Arial" w:hAnsi="Arial" w:cs="Arial"/>
          <w:sz w:val="24"/>
          <w:szCs w:val="24"/>
        </w:rPr>
        <w:t>Aj keď v čase vypracovávania tohto dokumentu samotný pojem korupcia nie je ako termín v slovenských právnych predpisoch osobitne vymedzený, v TZ sa v § 328 až §</w:t>
      </w:r>
      <w:r w:rsidR="00FF7CFF">
        <w:rPr>
          <w:rFonts w:ascii="Arial" w:hAnsi="Arial" w:cs="Arial"/>
          <w:sz w:val="24"/>
          <w:szCs w:val="24"/>
        </w:rPr>
        <w:t> </w:t>
      </w:r>
      <w:r w:rsidRPr="00E96230">
        <w:rPr>
          <w:rFonts w:ascii="Arial" w:hAnsi="Arial" w:cs="Arial"/>
          <w:sz w:val="24"/>
          <w:szCs w:val="24"/>
        </w:rPr>
        <w:t xml:space="preserve">336b uvádzajú druhy konaní súvisiacich s korupciou či úplatkárstvom. Termín korupcia má preto v tomto dokumente generický význam, ktorý zahŕňa nielen všetky uvedené druhy konania, ale aj akékoľvek ďalšie konania poškodzujúce verejný záujem. Zahŕňa takisto zneužívanie moci, právomoci, vplyvu či postavenia, navádzanie na takéto zneužitie, klientelizmus, protekcionárstvo, vydieranie, konflikt záujmov, nezákonný </w:t>
      </w:r>
      <w:proofErr w:type="spellStart"/>
      <w:r w:rsidRPr="00E96230">
        <w:rPr>
          <w:rFonts w:ascii="Arial" w:hAnsi="Arial" w:cs="Arial"/>
          <w:sz w:val="24"/>
          <w:szCs w:val="24"/>
        </w:rPr>
        <w:t>lobing</w:t>
      </w:r>
      <w:proofErr w:type="spellEnd"/>
      <w:r w:rsidRPr="00E96230">
        <w:rPr>
          <w:rFonts w:ascii="Arial" w:hAnsi="Arial" w:cs="Arial"/>
          <w:sz w:val="24"/>
          <w:szCs w:val="24"/>
        </w:rPr>
        <w:t xml:space="preserve">, poskytovanie a prijímanie nenáležitých výhod bez poskytovania protislužby a spreneveru verejných zdrojov. </w:t>
      </w:r>
    </w:p>
    <w:p w14:paraId="4367F2DA" w14:textId="77777777" w:rsidR="00B57225" w:rsidRDefault="00B57225" w:rsidP="00B57225">
      <w:pPr>
        <w:spacing w:after="120"/>
        <w:ind w:right="-284"/>
        <w:jc w:val="both"/>
        <w:rPr>
          <w:rFonts w:ascii="Arial" w:hAnsi="Arial" w:cs="Arial"/>
          <w:sz w:val="24"/>
          <w:szCs w:val="24"/>
        </w:rPr>
      </w:pPr>
      <w:r>
        <w:rPr>
          <w:rFonts w:ascii="Arial" w:hAnsi="Arial" w:cs="Arial"/>
          <w:sz w:val="24"/>
          <w:szCs w:val="24"/>
        </w:rPr>
        <w:t>Za trestný čin sa považuje aj neoznámenie trestného činu korupcie – či už neoznámenie pokusu o korupciu alebo informácie o tom, že sa niekto dopustil korupcie. Najčastejšie formy korupcie s ktorými môžu prísť zamestnanci pri výkone svojej práce do kontaktu sú:</w:t>
      </w:r>
    </w:p>
    <w:p w14:paraId="05DC62FA" w14:textId="77777777" w:rsidR="00E96230" w:rsidRPr="00E96230" w:rsidRDefault="00E96230" w:rsidP="00AD4534">
      <w:pPr>
        <w:pStyle w:val="Normlnywebov"/>
        <w:spacing w:before="0" w:beforeAutospacing="0" w:after="120" w:afterAutospacing="0" w:line="259" w:lineRule="auto"/>
        <w:ind w:right="-284"/>
        <w:jc w:val="both"/>
        <w:textAlignment w:val="baseline"/>
        <w:rPr>
          <w:rFonts w:ascii="Arial" w:hAnsi="Arial" w:cs="Arial"/>
        </w:rPr>
      </w:pPr>
      <w:r w:rsidRPr="00E96230">
        <w:rPr>
          <w:rStyle w:val="Vrazn"/>
          <w:rFonts w:ascii="Arial" w:hAnsi="Arial" w:cs="Arial"/>
          <w:bdr w:val="none" w:sz="0" w:space="0" w:color="auto" w:frame="1"/>
        </w:rPr>
        <w:t>Prijímanie úplatku</w:t>
      </w:r>
      <w:r w:rsidRPr="00E96230">
        <w:rPr>
          <w:rFonts w:ascii="Arial" w:hAnsi="Arial" w:cs="Arial"/>
        </w:rPr>
        <w:t> (tzv. pasívna korupcia) znamená prijať, žiadať alebo si dať sľúbiť, či už priamo alebo cez sprostredkovateľa úplatok – plnenie majetkovej alebo nemajetkovej povahy, na ktoré osoba nemá nárok, pričom za tento úplatok koná alebo nekoná (zdrží sa konania) tak, že poruší svoje povinnosti vyplývajúce zo zamestnania, postavenia, funkcie či povolania.</w:t>
      </w:r>
    </w:p>
    <w:p w14:paraId="72CDB2C3" w14:textId="77777777" w:rsidR="00E96230" w:rsidRPr="00E96230" w:rsidRDefault="00E96230" w:rsidP="00AD4534">
      <w:pPr>
        <w:pStyle w:val="Normlnywebov"/>
        <w:spacing w:before="0" w:beforeAutospacing="0" w:after="120" w:afterAutospacing="0" w:line="259" w:lineRule="auto"/>
        <w:ind w:right="-284"/>
        <w:jc w:val="both"/>
        <w:textAlignment w:val="baseline"/>
        <w:rPr>
          <w:rFonts w:ascii="Arial" w:hAnsi="Arial" w:cs="Arial"/>
        </w:rPr>
      </w:pPr>
      <w:r w:rsidRPr="00E96230">
        <w:rPr>
          <w:rStyle w:val="Vrazn"/>
          <w:rFonts w:ascii="Arial" w:hAnsi="Arial" w:cs="Arial"/>
          <w:bdr w:val="none" w:sz="0" w:space="0" w:color="auto" w:frame="1"/>
        </w:rPr>
        <w:t>Podplácanie</w:t>
      </w:r>
      <w:r w:rsidRPr="00E96230">
        <w:rPr>
          <w:rFonts w:ascii="Arial" w:hAnsi="Arial" w:cs="Arial"/>
        </w:rPr>
        <w:t> (tzv. aktívna korupcia) znamená ponúkať, sľúbiť alebo poskytnúť, či už priamo alebo cez sprostredkovateľa úplatok – plnenie majetkovej alebo nemajetkovej povahy, na ktoré nemá podplácaná osoba nárok, pričom za tento úplatok podplácaná osoba koná alebo nekoná (zdrží sa konania) tak, že poruší svoje povinnosti vyplývajúce zo</w:t>
      </w:r>
      <w:r w:rsidR="00AD4534">
        <w:rPr>
          <w:rFonts w:ascii="Arial" w:hAnsi="Arial" w:cs="Arial"/>
        </w:rPr>
        <w:t> </w:t>
      </w:r>
      <w:r w:rsidRPr="00E96230">
        <w:rPr>
          <w:rFonts w:ascii="Arial" w:hAnsi="Arial" w:cs="Arial"/>
        </w:rPr>
        <w:t>zamestnania, postavenia, funkcie či povolania.</w:t>
      </w:r>
    </w:p>
    <w:p w14:paraId="584FC78B" w14:textId="77777777" w:rsidR="00E96230" w:rsidRDefault="00E96230" w:rsidP="00B57225">
      <w:pPr>
        <w:pStyle w:val="Normlnywebov"/>
        <w:spacing w:before="0" w:beforeAutospacing="0" w:after="120" w:afterAutospacing="0" w:line="259" w:lineRule="auto"/>
        <w:ind w:right="-284"/>
        <w:jc w:val="both"/>
        <w:textAlignment w:val="baseline"/>
        <w:rPr>
          <w:rFonts w:ascii="Arial" w:hAnsi="Arial" w:cs="Arial"/>
        </w:rPr>
      </w:pPr>
      <w:r w:rsidRPr="00E96230">
        <w:rPr>
          <w:rStyle w:val="Vrazn"/>
          <w:rFonts w:ascii="Arial" w:hAnsi="Arial" w:cs="Arial"/>
          <w:bdr w:val="none" w:sz="0" w:space="0" w:color="auto" w:frame="1"/>
        </w:rPr>
        <w:t>Nepriama korupcia</w:t>
      </w:r>
      <w:r w:rsidRPr="00E96230">
        <w:rPr>
          <w:rFonts w:ascii="Arial" w:hAnsi="Arial" w:cs="Arial"/>
        </w:rPr>
        <w:t> znamená prijímanie, žiadanie alebo sľúbenie úplatku – plnenia majetkovej alebo nemajetkovej povahy, či už priamo alebo cez sprostredkovateľa, pre seba alebo iného, za to, že svojim vplyvom bude osoba pôsobiť na iného, aby ten poskytol podplácajúcej osobe určité výhody spočívajúce v porušení svojich povinností vyplývajúcich zo zamestnania, postavenia, funkcie či povolania alebo na podplácanie takejto, na iného pôsobiacej osoby.</w:t>
      </w:r>
    </w:p>
    <w:p w14:paraId="07A6FE22" w14:textId="77777777" w:rsidR="00E96230" w:rsidRDefault="00E96230" w:rsidP="00AD4534">
      <w:pPr>
        <w:pStyle w:val="Normlnywebov"/>
        <w:spacing w:before="0" w:beforeAutospacing="0" w:after="0" w:afterAutospacing="0" w:line="259" w:lineRule="auto"/>
        <w:ind w:right="-284"/>
        <w:jc w:val="both"/>
        <w:textAlignment w:val="baseline"/>
        <w:rPr>
          <w:rFonts w:ascii="Arial" w:hAnsi="Arial" w:cs="Arial"/>
        </w:rPr>
      </w:pPr>
      <w:r w:rsidRPr="00E96230">
        <w:rPr>
          <w:rStyle w:val="Vrazn"/>
          <w:rFonts w:ascii="Arial" w:hAnsi="Arial" w:cs="Arial"/>
          <w:bdr w:val="none" w:sz="0" w:space="0" w:color="auto" w:frame="1"/>
        </w:rPr>
        <w:lastRenderedPageBreak/>
        <w:t>Neoznámenie trestného činu korupcie</w:t>
      </w:r>
      <w:r w:rsidRPr="00E96230">
        <w:rPr>
          <w:rFonts w:ascii="Arial" w:hAnsi="Arial" w:cs="Arial"/>
        </w:rPr>
        <w:t> (neoznámenie pokusu o korupciu alebo informácia o tom, že sa niekto dopustil korupcie), o ktorom sa zamestnanec hodnoverne dozvedel, je taktiež postihované v rovine trestnoprávnej.</w:t>
      </w:r>
    </w:p>
    <w:p w14:paraId="2C7021A4" w14:textId="77777777" w:rsidR="00B57225" w:rsidRPr="00E96230" w:rsidRDefault="00B57225" w:rsidP="00B57225">
      <w:pPr>
        <w:pStyle w:val="Normlnywebov"/>
        <w:spacing w:before="0" w:beforeAutospacing="0" w:after="120" w:afterAutospacing="0" w:line="259" w:lineRule="auto"/>
        <w:ind w:right="-284"/>
        <w:jc w:val="both"/>
        <w:textAlignment w:val="baseline"/>
        <w:rPr>
          <w:rFonts w:ascii="Arial" w:hAnsi="Arial" w:cs="Arial"/>
        </w:rPr>
      </w:pPr>
      <w:r>
        <w:rPr>
          <w:rFonts w:ascii="Arial" w:hAnsi="Arial" w:cs="Arial"/>
        </w:rPr>
        <w:t xml:space="preserve">Medzi typické znaky korupcie sa považuje konanie v tajnosti, v rozpore s dobrými mravmi, medzi dvomi alebo viacerými stranami, pričom často býva okrem iného spojená s nátlakom na niektorú zo strán a priame alebo nepriame poškodenie tretích osôb. </w:t>
      </w:r>
    </w:p>
    <w:p w14:paraId="64C74866" w14:textId="77777777" w:rsidR="00E96230" w:rsidRPr="00E96230" w:rsidRDefault="00E96230" w:rsidP="00AD4534">
      <w:pPr>
        <w:pStyle w:val="Default"/>
        <w:ind w:right="-284"/>
        <w:jc w:val="both"/>
      </w:pPr>
      <w:r w:rsidRPr="00E96230">
        <w:rPr>
          <w:b/>
          <w:bCs/>
        </w:rPr>
        <w:t xml:space="preserve">Korupčné riziko </w:t>
      </w:r>
    </w:p>
    <w:p w14:paraId="4C315742" w14:textId="77777777" w:rsidR="00E96230" w:rsidRDefault="00E96230" w:rsidP="00AD4534">
      <w:pPr>
        <w:pStyle w:val="Default"/>
        <w:ind w:right="-284"/>
        <w:jc w:val="both"/>
      </w:pPr>
      <w:r w:rsidRPr="00E96230">
        <w:t xml:space="preserve">V užšom zmysle sa pod týmto pojmom rozumie existencia príležitosti, pravdepodobnosti alebo možnosti vzniku korupcie a nákladov spojených s touto korupciou. Zahŕňa aj príčiny alebo podmienky, ktoré uľahčujú vznik situácie priaznivej pre podplácanie, korupciu, korupčné správanie alebo konanie. </w:t>
      </w:r>
    </w:p>
    <w:p w14:paraId="1BED4F87" w14:textId="77777777" w:rsidR="00E96230" w:rsidRPr="00E96230" w:rsidRDefault="00E96230" w:rsidP="00AD4534">
      <w:pPr>
        <w:pStyle w:val="Default"/>
        <w:ind w:right="-284"/>
        <w:jc w:val="both"/>
      </w:pPr>
    </w:p>
    <w:p w14:paraId="7A10ABA1" w14:textId="77777777" w:rsidR="00E96230" w:rsidRPr="00E96230" w:rsidRDefault="00E96230" w:rsidP="0036509F">
      <w:pPr>
        <w:pStyle w:val="Default"/>
        <w:spacing w:after="120"/>
        <w:ind w:right="-284"/>
        <w:jc w:val="both"/>
      </w:pPr>
      <w:r w:rsidRPr="00E96230">
        <w:rPr>
          <w:b/>
          <w:bCs/>
        </w:rPr>
        <w:t xml:space="preserve">Protikorupčná prevencia </w:t>
      </w:r>
    </w:p>
    <w:p w14:paraId="6C954B87" w14:textId="77777777" w:rsidR="00A754F9" w:rsidRDefault="00E96230" w:rsidP="00AD4534">
      <w:pPr>
        <w:ind w:right="-284"/>
        <w:jc w:val="both"/>
        <w:rPr>
          <w:rFonts w:ascii="Arial" w:hAnsi="Arial" w:cs="Arial"/>
          <w:sz w:val="24"/>
          <w:szCs w:val="24"/>
        </w:rPr>
      </w:pPr>
      <w:r w:rsidRPr="00E96230">
        <w:rPr>
          <w:rFonts w:ascii="Arial" w:hAnsi="Arial" w:cs="Arial"/>
          <w:sz w:val="24"/>
          <w:szCs w:val="24"/>
        </w:rPr>
        <w:t>Pod týmto pojmom sa rozumejú systematické postupy na</w:t>
      </w:r>
      <w:r w:rsidR="00A754F9">
        <w:rPr>
          <w:rFonts w:ascii="Arial" w:hAnsi="Arial" w:cs="Arial"/>
          <w:sz w:val="24"/>
          <w:szCs w:val="24"/>
        </w:rPr>
        <w:t>:</w:t>
      </w:r>
      <w:r w:rsidRPr="00E96230">
        <w:rPr>
          <w:rFonts w:ascii="Arial" w:hAnsi="Arial" w:cs="Arial"/>
          <w:sz w:val="24"/>
          <w:szCs w:val="24"/>
        </w:rPr>
        <w:t xml:space="preserve"> </w:t>
      </w:r>
    </w:p>
    <w:p w14:paraId="367F669D" w14:textId="77777777" w:rsidR="00A754F9" w:rsidRDefault="00E96230" w:rsidP="0036509F">
      <w:pPr>
        <w:spacing w:after="120"/>
        <w:ind w:left="284" w:right="-284" w:hanging="284"/>
        <w:jc w:val="both"/>
        <w:rPr>
          <w:rFonts w:ascii="Arial" w:hAnsi="Arial" w:cs="Arial"/>
          <w:sz w:val="24"/>
          <w:szCs w:val="24"/>
        </w:rPr>
      </w:pPr>
      <w:r w:rsidRPr="00E96230">
        <w:rPr>
          <w:rFonts w:ascii="Arial" w:hAnsi="Arial" w:cs="Arial"/>
          <w:sz w:val="24"/>
          <w:szCs w:val="24"/>
        </w:rPr>
        <w:t>a) odhaľovanie a odstraňovanie príčin, príležitostí a podmienok priaznivých pre vznik a</w:t>
      </w:r>
      <w:r w:rsidR="00AD4534">
        <w:rPr>
          <w:rFonts w:ascii="Arial" w:hAnsi="Arial" w:cs="Arial"/>
          <w:sz w:val="24"/>
          <w:szCs w:val="24"/>
        </w:rPr>
        <w:t> </w:t>
      </w:r>
      <w:r w:rsidRPr="00E96230">
        <w:rPr>
          <w:rFonts w:ascii="Arial" w:hAnsi="Arial" w:cs="Arial"/>
          <w:sz w:val="24"/>
          <w:szCs w:val="24"/>
        </w:rPr>
        <w:t xml:space="preserve">existenciu korupcie; </w:t>
      </w:r>
    </w:p>
    <w:p w14:paraId="50907684" w14:textId="77777777" w:rsidR="00A754F9" w:rsidRDefault="00E96230" w:rsidP="0036509F">
      <w:pPr>
        <w:spacing w:after="120"/>
        <w:ind w:right="-284"/>
        <w:jc w:val="both"/>
        <w:rPr>
          <w:rFonts w:ascii="Arial" w:hAnsi="Arial" w:cs="Arial"/>
          <w:sz w:val="24"/>
          <w:szCs w:val="24"/>
        </w:rPr>
      </w:pPr>
      <w:r w:rsidRPr="00E96230">
        <w:rPr>
          <w:rFonts w:ascii="Arial" w:hAnsi="Arial" w:cs="Arial"/>
          <w:sz w:val="24"/>
          <w:szCs w:val="24"/>
        </w:rPr>
        <w:t xml:space="preserve">b) zmenšovanie a odstraňovanie korupčných rizík; </w:t>
      </w:r>
    </w:p>
    <w:p w14:paraId="511F8BDB" w14:textId="77777777" w:rsidR="00A754F9" w:rsidRDefault="00E96230" w:rsidP="0036509F">
      <w:pPr>
        <w:spacing w:after="120"/>
        <w:ind w:right="-284"/>
        <w:jc w:val="both"/>
        <w:rPr>
          <w:rFonts w:ascii="Arial" w:hAnsi="Arial" w:cs="Arial"/>
          <w:sz w:val="24"/>
          <w:szCs w:val="24"/>
        </w:rPr>
      </w:pPr>
      <w:r w:rsidRPr="00E96230">
        <w:rPr>
          <w:rFonts w:ascii="Arial" w:hAnsi="Arial" w:cs="Arial"/>
          <w:sz w:val="24"/>
          <w:szCs w:val="24"/>
        </w:rPr>
        <w:t xml:space="preserve">c) zníženie </w:t>
      </w:r>
      <w:r w:rsidR="00A754F9">
        <w:rPr>
          <w:rFonts w:ascii="Arial" w:hAnsi="Arial" w:cs="Arial"/>
          <w:sz w:val="24"/>
          <w:szCs w:val="24"/>
        </w:rPr>
        <w:t>p</w:t>
      </w:r>
      <w:r w:rsidRPr="00E96230">
        <w:rPr>
          <w:rFonts w:ascii="Arial" w:hAnsi="Arial" w:cs="Arial"/>
          <w:sz w:val="24"/>
          <w:szCs w:val="24"/>
        </w:rPr>
        <w:t xml:space="preserve">ravdepodobnosti alebo možnosti vzniku korupcie; </w:t>
      </w:r>
    </w:p>
    <w:p w14:paraId="42452B99" w14:textId="77777777" w:rsidR="00A754F9" w:rsidRDefault="00E96230" w:rsidP="0036509F">
      <w:pPr>
        <w:spacing w:after="120"/>
        <w:ind w:right="-284"/>
        <w:jc w:val="both"/>
        <w:rPr>
          <w:rFonts w:ascii="Arial" w:hAnsi="Arial" w:cs="Arial"/>
          <w:sz w:val="24"/>
          <w:szCs w:val="24"/>
        </w:rPr>
      </w:pPr>
      <w:r w:rsidRPr="00E96230">
        <w:rPr>
          <w:rFonts w:ascii="Arial" w:hAnsi="Arial" w:cs="Arial"/>
          <w:sz w:val="24"/>
          <w:szCs w:val="24"/>
        </w:rPr>
        <w:t xml:space="preserve">d) odrádzanie osôb od páchania trestných činov korupcie a </w:t>
      </w:r>
    </w:p>
    <w:p w14:paraId="72A65AA8" w14:textId="77777777" w:rsidR="00E96230" w:rsidRDefault="00E96230" w:rsidP="0036509F">
      <w:pPr>
        <w:spacing w:after="120"/>
        <w:ind w:right="-284"/>
        <w:jc w:val="both"/>
        <w:rPr>
          <w:rFonts w:ascii="Arial" w:hAnsi="Arial" w:cs="Arial"/>
          <w:sz w:val="24"/>
          <w:szCs w:val="24"/>
        </w:rPr>
      </w:pPr>
      <w:r w:rsidRPr="00E96230">
        <w:rPr>
          <w:rFonts w:ascii="Arial" w:hAnsi="Arial" w:cs="Arial"/>
          <w:sz w:val="24"/>
          <w:szCs w:val="24"/>
        </w:rPr>
        <w:t>e) posilňovanie kultúry etiky, integrity a protikorupčného povedomia.</w:t>
      </w:r>
    </w:p>
    <w:p w14:paraId="72F0C335" w14:textId="77777777" w:rsidR="00A754F9" w:rsidRPr="00E96230" w:rsidRDefault="00A754F9" w:rsidP="00AD4534">
      <w:pPr>
        <w:spacing w:after="120"/>
        <w:ind w:right="-284"/>
        <w:jc w:val="both"/>
        <w:rPr>
          <w:rFonts w:ascii="Arial" w:hAnsi="Arial" w:cs="Arial"/>
          <w:sz w:val="24"/>
          <w:szCs w:val="24"/>
        </w:rPr>
      </w:pPr>
    </w:p>
    <w:p w14:paraId="197DC2EA" w14:textId="77777777" w:rsidR="00E96230" w:rsidRDefault="00403C57" w:rsidP="00AD4534">
      <w:pPr>
        <w:spacing w:after="120" w:line="240" w:lineRule="auto"/>
        <w:ind w:right="-284"/>
        <w:jc w:val="both"/>
        <w:rPr>
          <w:rFonts w:ascii="Calibri" w:hAnsi="Calibri" w:cs="Calibri"/>
          <w:color w:val="1C6194" w:themeColor="accent2" w:themeShade="BF"/>
          <w:sz w:val="40"/>
          <w:szCs w:val="40"/>
        </w:rPr>
      </w:pPr>
      <w:r w:rsidRPr="00403C57">
        <w:rPr>
          <w:rFonts w:ascii="Calibri" w:hAnsi="Calibri" w:cs="Calibri"/>
          <w:color w:val="1C6194" w:themeColor="accent2" w:themeShade="BF"/>
          <w:sz w:val="40"/>
          <w:szCs w:val="40"/>
        </w:rPr>
        <w:t>ZÁKLADNÉ PRÁVNE PREDPISY RELEVANTNÉ Z HĽADISKA KORUPCIE A MOŽNÝCH KORUPČNÝCH RIZÍK</w:t>
      </w:r>
    </w:p>
    <w:p w14:paraId="08AB4BD3" w14:textId="77777777" w:rsidR="00FF7CFF" w:rsidRPr="00EC5764" w:rsidRDefault="00E96230" w:rsidP="00AD4534">
      <w:pPr>
        <w:pStyle w:val="Default"/>
        <w:spacing w:line="259" w:lineRule="auto"/>
        <w:ind w:left="142" w:right="-284" w:hanging="142"/>
        <w:jc w:val="both"/>
        <w:rPr>
          <w:color w:val="auto"/>
        </w:rPr>
      </w:pPr>
      <w:r w:rsidRPr="00525A0A">
        <w:rPr>
          <w:color w:val="74B5E4" w:themeColor="accent2" w:themeTint="99"/>
        </w:rPr>
        <w:t xml:space="preserve">- </w:t>
      </w:r>
      <w:r w:rsidR="00FF7CFF" w:rsidRPr="00EC5764">
        <w:rPr>
          <w:color w:val="auto"/>
        </w:rPr>
        <w:t>Protikorupčná politika Slovenskej republiky na roky 2019 - 2023 schválená uznesením vlády SR č. 585/2018 z 12.12.2018</w:t>
      </w:r>
    </w:p>
    <w:p w14:paraId="2E8895B3" w14:textId="77777777" w:rsidR="00E96230" w:rsidRPr="00FF7CFF" w:rsidRDefault="00FF7CFF" w:rsidP="00AD4534">
      <w:pPr>
        <w:pStyle w:val="Default"/>
        <w:spacing w:line="259" w:lineRule="auto"/>
        <w:ind w:left="142" w:right="-284" w:hanging="142"/>
        <w:jc w:val="both"/>
        <w:rPr>
          <w:color w:val="318B70" w:themeColor="accent4" w:themeShade="BF"/>
        </w:rPr>
      </w:pPr>
      <w:r>
        <w:rPr>
          <w:color w:val="318B70" w:themeColor="accent4" w:themeShade="BF"/>
        </w:rPr>
        <w:t xml:space="preserve">- </w:t>
      </w:r>
      <w:r w:rsidRPr="00EC5764">
        <w:rPr>
          <w:color w:val="auto"/>
        </w:rPr>
        <w:t>Z</w:t>
      </w:r>
      <w:r w:rsidR="00E96230" w:rsidRPr="00EC5764">
        <w:rPr>
          <w:color w:val="auto"/>
        </w:rPr>
        <w:t xml:space="preserve">ákon č. 211/2000 Z. z. o slobodnom prístupe k informáciám a o zmene a doplnení niektorých zákonov (zákon o slobode informácií) v znení neskorších predpisov; </w:t>
      </w:r>
    </w:p>
    <w:p w14:paraId="48E3C8C5" w14:textId="77777777" w:rsidR="00E96230" w:rsidRPr="00FF7CFF" w:rsidRDefault="00E96230" w:rsidP="00AD4534">
      <w:pPr>
        <w:pStyle w:val="Default"/>
        <w:spacing w:line="259" w:lineRule="auto"/>
        <w:ind w:left="142" w:right="-284" w:hanging="142"/>
        <w:jc w:val="both"/>
        <w:rPr>
          <w:color w:val="318B70" w:themeColor="accent4" w:themeShade="BF"/>
        </w:rPr>
      </w:pPr>
      <w:r w:rsidRPr="00FF7CFF">
        <w:rPr>
          <w:color w:val="318B70" w:themeColor="accent4" w:themeShade="BF"/>
        </w:rPr>
        <w:t xml:space="preserve">- </w:t>
      </w:r>
      <w:r w:rsidR="00FF7CFF" w:rsidRPr="00EC5764">
        <w:rPr>
          <w:color w:val="auto"/>
        </w:rPr>
        <w:t>Z</w:t>
      </w:r>
      <w:r w:rsidRPr="00EC5764">
        <w:rPr>
          <w:color w:val="auto"/>
        </w:rPr>
        <w:t xml:space="preserve">ákon č. 523/2004 Z. z. o rozpočtových pravidlách verejnej správy a o zmene a doplnení niektorých zákonov v znení neskorších predpisov; </w:t>
      </w:r>
    </w:p>
    <w:p w14:paraId="659A181D" w14:textId="77777777" w:rsidR="00E96230" w:rsidRPr="00E96230" w:rsidRDefault="00E96230" w:rsidP="00AD4534">
      <w:pPr>
        <w:pStyle w:val="Default"/>
        <w:spacing w:line="259" w:lineRule="auto"/>
        <w:ind w:left="142" w:right="-284" w:hanging="142"/>
        <w:jc w:val="both"/>
      </w:pPr>
      <w:r w:rsidRPr="00E96230">
        <w:t xml:space="preserve">- </w:t>
      </w:r>
      <w:r w:rsidR="00FF7CFF">
        <w:t>Z</w:t>
      </w:r>
      <w:r w:rsidRPr="00E96230">
        <w:t xml:space="preserve">ákon č. 9/2010 Z. z. o sťažnostiach v znení neskorších predpisov; </w:t>
      </w:r>
    </w:p>
    <w:p w14:paraId="639BF59D" w14:textId="77777777" w:rsidR="00E96230" w:rsidRPr="00E96230" w:rsidRDefault="00E96230" w:rsidP="00AD4534">
      <w:pPr>
        <w:pStyle w:val="Default"/>
        <w:spacing w:line="259" w:lineRule="auto"/>
        <w:ind w:left="142" w:right="-284" w:hanging="142"/>
        <w:jc w:val="both"/>
      </w:pPr>
      <w:r w:rsidRPr="00E96230">
        <w:t xml:space="preserve">- </w:t>
      </w:r>
      <w:r w:rsidR="00FF7CFF">
        <w:t>Z</w:t>
      </w:r>
      <w:r w:rsidRPr="00E96230">
        <w:t xml:space="preserve">ákon č. 160/2015 Z. z. Civilný sporový poriadok v znení neskorších predpisov; </w:t>
      </w:r>
    </w:p>
    <w:p w14:paraId="712A6325" w14:textId="77777777" w:rsidR="00E96230" w:rsidRPr="00E96230" w:rsidRDefault="00E96230" w:rsidP="00AD4534">
      <w:pPr>
        <w:pStyle w:val="Default"/>
        <w:spacing w:line="259" w:lineRule="auto"/>
        <w:ind w:left="142" w:right="-284" w:hanging="142"/>
        <w:jc w:val="both"/>
      </w:pPr>
      <w:r w:rsidRPr="00E96230">
        <w:t xml:space="preserve">- </w:t>
      </w:r>
      <w:r w:rsidR="00FF7CFF">
        <w:t>Z</w:t>
      </w:r>
      <w:r w:rsidRPr="00E96230">
        <w:t xml:space="preserve">ákon č. 162/2015 Z. z. Správny súdny poriadok v znení neskorších predpisov; </w:t>
      </w:r>
    </w:p>
    <w:p w14:paraId="022A7DDA" w14:textId="77777777" w:rsidR="00E96230" w:rsidRDefault="00E96230" w:rsidP="00AD4534">
      <w:pPr>
        <w:pStyle w:val="Default"/>
        <w:spacing w:line="259" w:lineRule="auto"/>
        <w:ind w:left="142" w:right="-284" w:hanging="142"/>
        <w:jc w:val="both"/>
      </w:pPr>
      <w:r w:rsidRPr="00E96230">
        <w:t xml:space="preserve">- </w:t>
      </w:r>
      <w:r w:rsidR="00FF7CFF">
        <w:t>Z</w:t>
      </w:r>
      <w:r w:rsidRPr="00E96230">
        <w:t xml:space="preserve">ákon č. 343/2015 Z. z. o verejnom obstarávaní a o zmene a doplnení niektorých </w:t>
      </w:r>
      <w:r w:rsidR="00FF7CFF">
        <w:t>Z</w:t>
      </w:r>
      <w:r w:rsidRPr="00E96230">
        <w:t xml:space="preserve">ákonov v znení neskorších predpisov; </w:t>
      </w:r>
    </w:p>
    <w:p w14:paraId="332ACDF7" w14:textId="07C38640" w:rsidR="00FF7CFF" w:rsidRPr="00F70B80" w:rsidRDefault="00FF7CFF" w:rsidP="00AD4534">
      <w:pPr>
        <w:pStyle w:val="Default"/>
        <w:spacing w:line="259" w:lineRule="auto"/>
        <w:ind w:left="142" w:right="-284" w:hanging="142"/>
        <w:jc w:val="both"/>
        <w:rPr>
          <w:color w:val="auto"/>
        </w:rPr>
      </w:pPr>
      <w:r w:rsidRPr="00525A0A">
        <w:t xml:space="preserve">- </w:t>
      </w:r>
      <w:r w:rsidRPr="00F70B80">
        <w:rPr>
          <w:color w:val="auto"/>
        </w:rPr>
        <w:t>Zákon č. 157/2018 Z. z. o metrológii a o zmene a doplnení niektorých zákonov</w:t>
      </w:r>
      <w:r w:rsidR="00E10D59" w:rsidRPr="00F70B80">
        <w:rPr>
          <w:color w:val="auto"/>
        </w:rPr>
        <w:t xml:space="preserve"> v znení neskorších predpisov</w:t>
      </w:r>
      <w:r w:rsidRPr="00F70B80">
        <w:rPr>
          <w:color w:val="auto"/>
        </w:rPr>
        <w:t xml:space="preserve">; </w:t>
      </w:r>
    </w:p>
    <w:p w14:paraId="0C2C584C" w14:textId="6389D5EA" w:rsidR="00E96230" w:rsidRPr="00F70B80" w:rsidRDefault="00E96230" w:rsidP="00AD4534">
      <w:pPr>
        <w:pStyle w:val="Default"/>
        <w:spacing w:line="259" w:lineRule="auto"/>
        <w:ind w:left="142" w:right="-284" w:hanging="142"/>
        <w:jc w:val="both"/>
        <w:rPr>
          <w:color w:val="auto"/>
        </w:rPr>
      </w:pPr>
      <w:r w:rsidRPr="00F70B80">
        <w:rPr>
          <w:color w:val="auto"/>
        </w:rPr>
        <w:t xml:space="preserve">- </w:t>
      </w:r>
      <w:r w:rsidR="00FF7CFF" w:rsidRPr="00F70B80">
        <w:rPr>
          <w:color w:val="auto"/>
        </w:rPr>
        <w:t>Z</w:t>
      </w:r>
      <w:r w:rsidRPr="00F70B80">
        <w:rPr>
          <w:color w:val="auto"/>
        </w:rPr>
        <w:t>ákon č. 56/2018 Z. z. o posudzovaní zhody výrobku, sprístupňovaní určeného výrobku na trhu a o zmene a doplnení niektorých zákonov</w:t>
      </w:r>
      <w:r w:rsidR="00170E73" w:rsidRPr="00F70B80">
        <w:rPr>
          <w:color w:val="auto"/>
        </w:rPr>
        <w:t xml:space="preserve"> v znení neskorších predpisov</w:t>
      </w:r>
      <w:r w:rsidRPr="00F70B80">
        <w:rPr>
          <w:color w:val="auto"/>
        </w:rPr>
        <w:t xml:space="preserve">; </w:t>
      </w:r>
    </w:p>
    <w:p w14:paraId="1C4424BE" w14:textId="498CF8D2" w:rsidR="00FF7CFF" w:rsidRPr="00F70B80" w:rsidRDefault="00FF7CFF" w:rsidP="00AD4534">
      <w:pPr>
        <w:pStyle w:val="Default"/>
        <w:ind w:left="142" w:right="-284" w:hanging="142"/>
        <w:jc w:val="both"/>
        <w:rPr>
          <w:color w:val="auto"/>
          <w:sz w:val="22"/>
          <w:szCs w:val="22"/>
        </w:rPr>
      </w:pPr>
      <w:r w:rsidRPr="00F70B80">
        <w:rPr>
          <w:color w:val="auto"/>
        </w:rPr>
        <w:t xml:space="preserve">- </w:t>
      </w:r>
      <w:r w:rsidRPr="00F70B80">
        <w:rPr>
          <w:color w:val="auto"/>
          <w:sz w:val="22"/>
          <w:szCs w:val="22"/>
        </w:rPr>
        <w:t>Zákon č. 54/2019 Z. z. o ochrane oznamovateľov protispoločenskej činnosti a o zmene a</w:t>
      </w:r>
      <w:r w:rsidR="00AD4534" w:rsidRPr="00F70B80">
        <w:rPr>
          <w:color w:val="auto"/>
          <w:sz w:val="22"/>
          <w:szCs w:val="22"/>
        </w:rPr>
        <w:t> </w:t>
      </w:r>
      <w:r w:rsidRPr="00F70B80">
        <w:rPr>
          <w:color w:val="auto"/>
          <w:sz w:val="22"/>
          <w:szCs w:val="22"/>
        </w:rPr>
        <w:t>doplnení niektorých zákonov</w:t>
      </w:r>
      <w:r w:rsidR="00170E73" w:rsidRPr="00F70B80">
        <w:rPr>
          <w:color w:val="auto"/>
          <w:sz w:val="22"/>
          <w:szCs w:val="22"/>
        </w:rPr>
        <w:t xml:space="preserve"> v znení neskorších predpisov</w:t>
      </w:r>
      <w:r w:rsidR="00525A0A" w:rsidRPr="00F70B80">
        <w:rPr>
          <w:color w:val="auto"/>
          <w:sz w:val="22"/>
          <w:szCs w:val="22"/>
        </w:rPr>
        <w:t>;</w:t>
      </w:r>
    </w:p>
    <w:p w14:paraId="7D424B49" w14:textId="577EB4ED" w:rsidR="00FF7CFF" w:rsidRPr="00F70B80" w:rsidRDefault="00FF7CFF" w:rsidP="00AD4534">
      <w:pPr>
        <w:pStyle w:val="Default"/>
        <w:ind w:left="142" w:right="-284" w:hanging="142"/>
        <w:jc w:val="both"/>
        <w:rPr>
          <w:color w:val="auto"/>
        </w:rPr>
      </w:pPr>
      <w:r w:rsidRPr="00F70B80">
        <w:rPr>
          <w:color w:val="auto"/>
        </w:rPr>
        <w:t>- Zákon č. 300/2005 Z. z. Trestný zákon </w:t>
      </w:r>
      <w:r w:rsidR="00170E73" w:rsidRPr="00F70B80">
        <w:rPr>
          <w:color w:val="auto"/>
          <w:sz w:val="22"/>
          <w:szCs w:val="22"/>
        </w:rPr>
        <w:t>v znení neskorších predpisov</w:t>
      </w:r>
      <w:r w:rsidR="00525A0A" w:rsidRPr="00F70B80">
        <w:rPr>
          <w:color w:val="auto"/>
        </w:rPr>
        <w:t>;</w:t>
      </w:r>
    </w:p>
    <w:p w14:paraId="734F2D8C" w14:textId="77777777" w:rsidR="00525A0A" w:rsidRPr="00E02D9C" w:rsidRDefault="00525A0A" w:rsidP="00AD4534">
      <w:pPr>
        <w:pStyle w:val="Default"/>
        <w:ind w:left="142" w:right="-284" w:hanging="142"/>
        <w:jc w:val="both"/>
        <w:rPr>
          <w:color w:val="auto"/>
        </w:rPr>
      </w:pPr>
      <w:r w:rsidRPr="00F70B80">
        <w:rPr>
          <w:color w:val="auto"/>
        </w:rPr>
        <w:t>- Zákon č. 301/2005 Z. z. Trestný poriadok v znení neskorších predpisov</w:t>
      </w:r>
      <w:r w:rsidRPr="00E02D9C">
        <w:rPr>
          <w:color w:val="auto"/>
        </w:rPr>
        <w:t>;</w:t>
      </w:r>
    </w:p>
    <w:p w14:paraId="3F9341C8" w14:textId="5A8C4D4C" w:rsidR="00525A0A" w:rsidRPr="00E02D9C" w:rsidRDefault="00525A0A" w:rsidP="00AD4534">
      <w:pPr>
        <w:pStyle w:val="Default"/>
        <w:ind w:left="142" w:right="-284" w:hanging="142"/>
        <w:jc w:val="both"/>
        <w:rPr>
          <w:color w:val="auto"/>
        </w:rPr>
      </w:pPr>
      <w:r w:rsidRPr="00E02D9C">
        <w:rPr>
          <w:color w:val="auto"/>
        </w:rPr>
        <w:lastRenderedPageBreak/>
        <w:t xml:space="preserve">- </w:t>
      </w:r>
      <w:r w:rsidR="00170E73">
        <w:rPr>
          <w:color w:val="auto"/>
        </w:rPr>
        <w:t>Z</w:t>
      </w:r>
      <w:r w:rsidRPr="00EC5764">
        <w:rPr>
          <w:color w:val="auto"/>
        </w:rPr>
        <w:t>ákon č.</w:t>
      </w:r>
      <w:r w:rsidR="00170E73">
        <w:rPr>
          <w:color w:val="auto"/>
        </w:rPr>
        <w:t xml:space="preserve"> </w:t>
      </w:r>
      <w:r w:rsidRPr="00EC5764">
        <w:rPr>
          <w:color w:val="auto"/>
        </w:rPr>
        <w:t>91/2016 Z. z. o trestnej zodpovednosti právnických osôb a o zmene a doplnení niektorých zákonov v znení neskorších predpisov</w:t>
      </w:r>
      <w:r w:rsidRPr="00E02D9C">
        <w:rPr>
          <w:color w:val="auto"/>
        </w:rPr>
        <w:t>;</w:t>
      </w:r>
    </w:p>
    <w:p w14:paraId="0F4F5B1E" w14:textId="369BDB92" w:rsidR="00FF7CFF" w:rsidRPr="00F70B80" w:rsidRDefault="00525A0A" w:rsidP="00EC5764">
      <w:pPr>
        <w:pStyle w:val="Default"/>
        <w:ind w:left="142" w:right="-284" w:hanging="142"/>
        <w:jc w:val="both"/>
        <w:rPr>
          <w:color w:val="auto"/>
        </w:rPr>
      </w:pPr>
      <w:r w:rsidRPr="00C33F81">
        <w:rPr>
          <w:color w:val="auto"/>
          <w:sz w:val="22"/>
          <w:szCs w:val="22"/>
          <w:lang w:val="pl-PL"/>
        </w:rPr>
        <w:t>-</w:t>
      </w:r>
      <w:r w:rsidRPr="00EC5764">
        <w:rPr>
          <w:color w:val="auto"/>
          <w:sz w:val="22"/>
          <w:szCs w:val="22"/>
        </w:rPr>
        <w:t xml:space="preserve"> </w:t>
      </w:r>
      <w:r w:rsidRPr="00EC5764">
        <w:rPr>
          <w:color w:val="auto"/>
        </w:rPr>
        <w:t>Zákon</w:t>
      </w:r>
      <w:r w:rsidRPr="00C33F81">
        <w:rPr>
          <w:color w:val="auto"/>
          <w:lang w:val="pl-PL"/>
        </w:rPr>
        <w:t xml:space="preserve"> č. 315/2016 Z. z. o registry</w:t>
      </w:r>
      <w:r w:rsidRPr="00EC5764">
        <w:rPr>
          <w:color w:val="auto"/>
        </w:rPr>
        <w:t xml:space="preserve"> partnerov verejného sektora</w:t>
      </w:r>
      <w:r w:rsidRPr="00C33F81">
        <w:rPr>
          <w:color w:val="auto"/>
          <w:lang w:val="pl-PL"/>
        </w:rPr>
        <w:t xml:space="preserve"> a o </w:t>
      </w:r>
      <w:r w:rsidR="00EC5764" w:rsidRPr="00EC5764">
        <w:rPr>
          <w:color w:val="auto"/>
        </w:rPr>
        <w:t xml:space="preserve">zmene a doplnení </w:t>
      </w:r>
      <w:r w:rsidR="00EC5764" w:rsidRPr="00F70B80">
        <w:rPr>
          <w:color w:val="auto"/>
        </w:rPr>
        <w:t>niektorých zákonov</w:t>
      </w:r>
      <w:r w:rsidR="00170E73" w:rsidRPr="00F70B80">
        <w:rPr>
          <w:color w:val="auto"/>
        </w:rPr>
        <w:t xml:space="preserve"> </w:t>
      </w:r>
      <w:r w:rsidR="00170E73" w:rsidRPr="00F70B80">
        <w:rPr>
          <w:color w:val="auto"/>
          <w:sz w:val="22"/>
          <w:szCs w:val="22"/>
        </w:rPr>
        <w:t>v znení neskorších predpisov</w:t>
      </w:r>
      <w:r w:rsidR="00EC5764" w:rsidRPr="00F70B80">
        <w:rPr>
          <w:color w:val="auto"/>
        </w:rPr>
        <w:t>.</w:t>
      </w:r>
    </w:p>
    <w:p w14:paraId="72674FFC" w14:textId="77777777" w:rsidR="008F19C6" w:rsidRDefault="008F19C6" w:rsidP="00AD4534">
      <w:pPr>
        <w:pStyle w:val="Default"/>
        <w:spacing w:line="259" w:lineRule="auto"/>
        <w:ind w:left="142" w:right="-284" w:hanging="142"/>
        <w:jc w:val="both"/>
      </w:pPr>
    </w:p>
    <w:p w14:paraId="00745855" w14:textId="77777777" w:rsidR="00403C57" w:rsidRPr="00FF7CFF" w:rsidRDefault="00403C57" w:rsidP="00AD4534">
      <w:pPr>
        <w:pStyle w:val="Default"/>
        <w:spacing w:after="120" w:line="259" w:lineRule="auto"/>
        <w:ind w:right="-284"/>
        <w:jc w:val="both"/>
        <w:rPr>
          <w:rFonts w:ascii="Calibri" w:hAnsi="Calibri" w:cs="Calibri"/>
          <w:color w:val="1C6194" w:themeColor="accent2" w:themeShade="BF"/>
          <w:sz w:val="40"/>
          <w:szCs w:val="40"/>
        </w:rPr>
      </w:pPr>
      <w:r w:rsidRPr="00FF7CFF">
        <w:rPr>
          <w:rFonts w:ascii="Calibri" w:hAnsi="Calibri" w:cs="Calibri"/>
          <w:color w:val="1C6194" w:themeColor="accent2" w:themeShade="BF"/>
          <w:sz w:val="40"/>
          <w:szCs w:val="40"/>
        </w:rPr>
        <w:t>VÝCHODISKÁ PROTIKORUPČN</w:t>
      </w:r>
      <w:r w:rsidR="00FF7CFF" w:rsidRPr="00FF7CFF">
        <w:rPr>
          <w:rFonts w:ascii="Calibri" w:hAnsi="Calibri" w:cs="Calibri"/>
          <w:color w:val="1C6194" w:themeColor="accent2" w:themeShade="BF"/>
          <w:sz w:val="40"/>
          <w:szCs w:val="40"/>
        </w:rPr>
        <w:t>ÉHO PROGRAMU</w:t>
      </w:r>
      <w:r w:rsidRPr="00FF7CFF">
        <w:rPr>
          <w:rFonts w:ascii="Calibri" w:hAnsi="Calibri" w:cs="Calibri"/>
          <w:color w:val="1C6194" w:themeColor="accent2" w:themeShade="BF"/>
          <w:sz w:val="40"/>
          <w:szCs w:val="40"/>
        </w:rPr>
        <w:t xml:space="preserve"> SLM</w:t>
      </w:r>
    </w:p>
    <w:p w14:paraId="0A6D6A02" w14:textId="77777777" w:rsidR="00E96230" w:rsidRDefault="00525A0A" w:rsidP="00AD4534">
      <w:pPr>
        <w:ind w:right="-284"/>
        <w:jc w:val="both"/>
        <w:rPr>
          <w:rFonts w:ascii="Arial" w:hAnsi="Arial" w:cs="Arial"/>
          <w:sz w:val="24"/>
          <w:szCs w:val="24"/>
        </w:rPr>
      </w:pPr>
      <w:r w:rsidRPr="00525A0A">
        <w:rPr>
          <w:rFonts w:ascii="Arial" w:hAnsi="Arial" w:cs="Arial"/>
          <w:sz w:val="24"/>
          <w:szCs w:val="24"/>
        </w:rPr>
        <w:t xml:space="preserve">SLM vychádza pri tvorbe </w:t>
      </w:r>
      <w:r>
        <w:rPr>
          <w:rFonts w:ascii="Arial" w:hAnsi="Arial" w:cs="Arial"/>
          <w:sz w:val="24"/>
          <w:szCs w:val="24"/>
        </w:rPr>
        <w:t>protikorupčného programu SLM</w:t>
      </w:r>
      <w:r w:rsidRPr="00525A0A">
        <w:rPr>
          <w:rFonts w:ascii="Arial" w:hAnsi="Arial" w:cs="Arial"/>
          <w:sz w:val="24"/>
          <w:szCs w:val="24"/>
        </w:rPr>
        <w:t xml:space="preserve"> z Protikorupčnej politiky </w:t>
      </w:r>
      <w:r>
        <w:rPr>
          <w:rFonts w:ascii="Arial" w:hAnsi="Arial" w:cs="Arial"/>
          <w:sz w:val="24"/>
          <w:szCs w:val="24"/>
        </w:rPr>
        <w:t>SR a</w:t>
      </w:r>
      <w:r w:rsidR="00A754F9">
        <w:rPr>
          <w:rFonts w:ascii="Arial" w:hAnsi="Arial" w:cs="Arial"/>
          <w:sz w:val="24"/>
          <w:szCs w:val="24"/>
        </w:rPr>
        <w:t> </w:t>
      </w:r>
      <w:r w:rsidRPr="00525A0A">
        <w:rPr>
          <w:rFonts w:ascii="Arial" w:hAnsi="Arial" w:cs="Arial"/>
          <w:sz w:val="24"/>
          <w:szCs w:val="24"/>
        </w:rPr>
        <w:t>ÚNMS SR</w:t>
      </w:r>
      <w:r w:rsidR="0036509F">
        <w:rPr>
          <w:rFonts w:ascii="Arial" w:hAnsi="Arial" w:cs="Arial"/>
          <w:sz w:val="24"/>
          <w:szCs w:val="24"/>
        </w:rPr>
        <w:t>,</w:t>
      </w:r>
      <w:r w:rsidRPr="00525A0A">
        <w:rPr>
          <w:rFonts w:ascii="Arial" w:hAnsi="Arial" w:cs="Arial"/>
          <w:sz w:val="24"/>
          <w:szCs w:val="24"/>
        </w:rPr>
        <w:t xml:space="preserve"> v ktor</w:t>
      </w:r>
      <w:r w:rsidR="00425474">
        <w:rPr>
          <w:rFonts w:ascii="Arial" w:hAnsi="Arial" w:cs="Arial"/>
          <w:sz w:val="24"/>
          <w:szCs w:val="24"/>
        </w:rPr>
        <w:t>om</w:t>
      </w:r>
      <w:r w:rsidRPr="00525A0A">
        <w:rPr>
          <w:rFonts w:ascii="Arial" w:hAnsi="Arial" w:cs="Arial"/>
          <w:sz w:val="24"/>
          <w:szCs w:val="24"/>
        </w:rPr>
        <w:t xml:space="preserve"> zohľadní základné faktory, ktoré môžu pomôcť alebo ohroziť úspešnosť </w:t>
      </w:r>
      <w:r>
        <w:rPr>
          <w:rFonts w:ascii="Arial" w:hAnsi="Arial" w:cs="Arial"/>
          <w:sz w:val="24"/>
          <w:szCs w:val="24"/>
        </w:rPr>
        <w:t xml:space="preserve">jeho </w:t>
      </w:r>
      <w:r w:rsidRPr="00525A0A">
        <w:rPr>
          <w:rFonts w:ascii="Arial" w:hAnsi="Arial" w:cs="Arial"/>
          <w:sz w:val="24"/>
          <w:szCs w:val="24"/>
        </w:rPr>
        <w:t>realizácie</w:t>
      </w:r>
      <w:r>
        <w:rPr>
          <w:rFonts w:ascii="Arial" w:hAnsi="Arial" w:cs="Arial"/>
          <w:sz w:val="24"/>
          <w:szCs w:val="24"/>
        </w:rPr>
        <w:t>.</w:t>
      </w:r>
    </w:p>
    <w:p w14:paraId="228879E3" w14:textId="77777777" w:rsidR="00525A0A" w:rsidRDefault="00525A0A" w:rsidP="00AD4534">
      <w:pPr>
        <w:ind w:right="-284"/>
        <w:jc w:val="both"/>
      </w:pPr>
      <w:r w:rsidRPr="00525A0A">
        <w:rPr>
          <w:rFonts w:ascii="Arial" w:hAnsi="Arial" w:cs="Arial"/>
          <w:sz w:val="24"/>
          <w:szCs w:val="24"/>
        </w:rPr>
        <w:t xml:space="preserve">Protikorupčná politika SR a ÚNMS SR </w:t>
      </w:r>
      <w:r w:rsidR="00425474">
        <w:rPr>
          <w:rFonts w:ascii="Arial" w:hAnsi="Arial" w:cs="Arial"/>
          <w:sz w:val="24"/>
          <w:szCs w:val="24"/>
        </w:rPr>
        <w:t xml:space="preserve"> pomôž</w:t>
      </w:r>
      <w:r w:rsidR="0036509F">
        <w:rPr>
          <w:rFonts w:ascii="Arial" w:hAnsi="Arial" w:cs="Arial"/>
          <w:sz w:val="24"/>
          <w:szCs w:val="24"/>
        </w:rPr>
        <w:t>e</w:t>
      </w:r>
      <w:r w:rsidR="00425474">
        <w:rPr>
          <w:rFonts w:ascii="Arial" w:hAnsi="Arial" w:cs="Arial"/>
          <w:sz w:val="24"/>
          <w:szCs w:val="24"/>
        </w:rPr>
        <w:t xml:space="preserve"> </w:t>
      </w:r>
      <w:r w:rsidRPr="00525A0A">
        <w:rPr>
          <w:rFonts w:ascii="Arial" w:hAnsi="Arial" w:cs="Arial"/>
          <w:sz w:val="24"/>
          <w:szCs w:val="24"/>
        </w:rPr>
        <w:t xml:space="preserve">implementovať účinné mechanizmy zamerané na predchádzanie a odhaľovanie korupcie, </w:t>
      </w:r>
      <w:r w:rsidR="0036509F">
        <w:rPr>
          <w:rFonts w:ascii="Arial" w:hAnsi="Arial" w:cs="Arial"/>
          <w:sz w:val="24"/>
          <w:szCs w:val="24"/>
        </w:rPr>
        <w:t xml:space="preserve">a tiež </w:t>
      </w:r>
      <w:r w:rsidRPr="00525A0A">
        <w:rPr>
          <w:rFonts w:ascii="Arial" w:hAnsi="Arial" w:cs="Arial"/>
          <w:sz w:val="24"/>
          <w:szCs w:val="24"/>
        </w:rPr>
        <w:t>prijímanie nápravných opatrení v prípade zistených prípadov korupcie</w:t>
      </w:r>
      <w:r>
        <w:t>.</w:t>
      </w:r>
    </w:p>
    <w:p w14:paraId="68B8D06B" w14:textId="77777777" w:rsidR="00425474" w:rsidRDefault="00425474" w:rsidP="00AD4534">
      <w:pPr>
        <w:pStyle w:val="Default"/>
        <w:ind w:right="-284"/>
        <w:jc w:val="both"/>
      </w:pPr>
    </w:p>
    <w:p w14:paraId="15207DFD" w14:textId="77777777" w:rsidR="00425474" w:rsidRPr="00425474" w:rsidRDefault="00425474" w:rsidP="0036509F">
      <w:pPr>
        <w:pStyle w:val="Default"/>
        <w:spacing w:after="120"/>
        <w:ind w:right="-284"/>
        <w:jc w:val="both"/>
      </w:pPr>
      <w:r w:rsidRPr="00425474">
        <w:rPr>
          <w:b/>
          <w:bCs/>
        </w:rPr>
        <w:t xml:space="preserve">Faktory s priaznivým vplyvom na realizáciu PKP </w:t>
      </w:r>
      <w:r>
        <w:rPr>
          <w:b/>
          <w:bCs/>
        </w:rPr>
        <w:t>SLM</w:t>
      </w:r>
      <w:r w:rsidRPr="00425474">
        <w:rPr>
          <w:b/>
          <w:bCs/>
        </w:rPr>
        <w:t xml:space="preserve"> </w:t>
      </w:r>
    </w:p>
    <w:p w14:paraId="1A8E1E4A" w14:textId="77777777" w:rsidR="00425474" w:rsidRPr="00425474" w:rsidRDefault="00425474" w:rsidP="00AD4534">
      <w:pPr>
        <w:pStyle w:val="Default"/>
        <w:numPr>
          <w:ilvl w:val="0"/>
          <w:numId w:val="4"/>
        </w:numPr>
        <w:spacing w:after="120"/>
        <w:ind w:left="714" w:right="-284" w:hanging="357"/>
        <w:jc w:val="both"/>
      </w:pPr>
      <w:r w:rsidRPr="00425474">
        <w:t xml:space="preserve">konkrétne prejavená vôľa bojovať proti korupcii a eliminovať korupčné riziká, </w:t>
      </w:r>
    </w:p>
    <w:p w14:paraId="592CCC61" w14:textId="77777777" w:rsidR="00425474" w:rsidRDefault="00425474" w:rsidP="00AD4534">
      <w:pPr>
        <w:pStyle w:val="Default"/>
        <w:numPr>
          <w:ilvl w:val="0"/>
          <w:numId w:val="4"/>
        </w:numPr>
        <w:spacing w:after="120"/>
        <w:ind w:left="714" w:right="-284" w:hanging="357"/>
        <w:jc w:val="both"/>
      </w:pPr>
      <w:r w:rsidRPr="00425474">
        <w:t xml:space="preserve">podpora vedenia </w:t>
      </w:r>
      <w:r>
        <w:t>SLM</w:t>
      </w:r>
      <w:r w:rsidRPr="00425474">
        <w:t xml:space="preserve"> pri vypracovaní a zavedení protikorupčného programu v</w:t>
      </w:r>
      <w:r w:rsidR="008F19C6">
        <w:t> </w:t>
      </w:r>
      <w:r>
        <w:t>SLM</w:t>
      </w:r>
      <w:r w:rsidRPr="00425474">
        <w:t xml:space="preserve">, </w:t>
      </w:r>
    </w:p>
    <w:p w14:paraId="26A99ABA" w14:textId="77777777" w:rsidR="00425474" w:rsidRPr="00A2641B" w:rsidRDefault="00425474" w:rsidP="00AD4534">
      <w:pPr>
        <w:pStyle w:val="Default"/>
        <w:numPr>
          <w:ilvl w:val="0"/>
          <w:numId w:val="4"/>
        </w:numPr>
        <w:spacing w:after="120"/>
        <w:ind w:left="714" w:right="-284" w:hanging="357"/>
        <w:jc w:val="both"/>
        <w:rPr>
          <w:color w:val="auto"/>
        </w:rPr>
      </w:pPr>
      <w:r w:rsidRPr="00A2641B">
        <w:t>dodržiavanie už existujúceho etického kódexu,</w:t>
      </w:r>
      <w:r w:rsidR="00A2641B" w:rsidRPr="00A2641B">
        <w:t xml:space="preserve"> a smernice </w:t>
      </w:r>
      <w:r w:rsidR="00A2641B">
        <w:t>„</w:t>
      </w:r>
      <w:r w:rsidR="00A2641B" w:rsidRPr="00A2641B">
        <w:rPr>
          <w:color w:val="282828"/>
        </w:rPr>
        <w:t xml:space="preserve">Zásady podávania, preverovania a evidovania </w:t>
      </w:r>
      <w:r w:rsidR="00A2641B" w:rsidRPr="00A2641B">
        <w:rPr>
          <w:color w:val="auto"/>
        </w:rPr>
        <w:t>oznámení súvisiacich s oznamovaním protispoločenskej činnosti</w:t>
      </w:r>
      <w:r w:rsidR="00A2641B">
        <w:rPr>
          <w:color w:val="auto"/>
        </w:rPr>
        <w:t xml:space="preserve">“ </w:t>
      </w:r>
      <w:r w:rsidRPr="00425474">
        <w:t>ako aj novovytvorených protikorupčných pravidiel</w:t>
      </w:r>
      <w:r w:rsidR="00140168">
        <w:t>,</w:t>
      </w:r>
    </w:p>
    <w:p w14:paraId="53A1A437" w14:textId="77777777" w:rsidR="00425474" w:rsidRDefault="00140168" w:rsidP="00AD4534">
      <w:pPr>
        <w:pStyle w:val="Default"/>
        <w:numPr>
          <w:ilvl w:val="0"/>
          <w:numId w:val="4"/>
        </w:numPr>
        <w:spacing w:after="120"/>
        <w:ind w:left="714" w:right="-284" w:hanging="357"/>
        <w:jc w:val="both"/>
      </w:pPr>
      <w:r>
        <w:t>celospoločenský záujem a rastúci tlak verejnosti na riešenie problémov spojených s korupciou,</w:t>
      </w:r>
    </w:p>
    <w:p w14:paraId="7B25B93A" w14:textId="7D8A7EEF" w:rsidR="00140168" w:rsidRDefault="00140168" w:rsidP="00AD4534">
      <w:pPr>
        <w:pStyle w:val="Default"/>
        <w:numPr>
          <w:ilvl w:val="0"/>
          <w:numId w:val="4"/>
        </w:numPr>
        <w:spacing w:after="120"/>
        <w:ind w:left="714" w:right="-284" w:hanging="357"/>
        <w:jc w:val="both"/>
      </w:pPr>
      <w:r>
        <w:t>interné prostredie a komunikácia vo vnútri organizácie vytvárajúca priaznivé predpoklady pre úspešné implementovanie účinných protikorupčných opatrení, posilňovanie protikorupčnej firemnej kultúry a odmietanie korupcie</w:t>
      </w:r>
      <w:r w:rsidR="0061322A">
        <w:t>,</w:t>
      </w:r>
    </w:p>
    <w:p w14:paraId="52A47522" w14:textId="6E866C36" w:rsidR="0061322A" w:rsidRPr="00F70B80" w:rsidRDefault="0061322A" w:rsidP="00AD4534">
      <w:pPr>
        <w:pStyle w:val="Default"/>
        <w:numPr>
          <w:ilvl w:val="0"/>
          <w:numId w:val="4"/>
        </w:numPr>
        <w:spacing w:after="120"/>
        <w:ind w:left="714" w:right="-284" w:hanging="357"/>
        <w:jc w:val="both"/>
        <w:rPr>
          <w:color w:val="auto"/>
        </w:rPr>
      </w:pPr>
      <w:r w:rsidRPr="00F70B80">
        <w:rPr>
          <w:color w:val="auto"/>
        </w:rPr>
        <w:t>spravodlivé odmeňovanie za vykonanú prácu,</w:t>
      </w:r>
    </w:p>
    <w:p w14:paraId="713FF1CF" w14:textId="77777777" w:rsidR="00425474" w:rsidRPr="00425474" w:rsidRDefault="00425474" w:rsidP="00AD4534">
      <w:pPr>
        <w:pStyle w:val="Default"/>
        <w:numPr>
          <w:ilvl w:val="0"/>
          <w:numId w:val="4"/>
        </w:numPr>
        <w:spacing w:after="120"/>
        <w:ind w:left="714" w:right="-284" w:hanging="357"/>
        <w:jc w:val="both"/>
      </w:pPr>
      <w:r w:rsidRPr="00425474">
        <w:t>transparentno</w:t>
      </w:r>
      <w:r>
        <w:t>sť interných procesov podporuj</w:t>
      </w:r>
      <w:r w:rsidR="00140168">
        <w:t>úcich</w:t>
      </w:r>
      <w:r>
        <w:t xml:space="preserve"> princíp vnútornej kontroly.</w:t>
      </w:r>
    </w:p>
    <w:p w14:paraId="3D2C8943" w14:textId="77777777" w:rsidR="00425474" w:rsidRPr="00425474" w:rsidRDefault="00425474" w:rsidP="00AD4534">
      <w:pPr>
        <w:pStyle w:val="Default"/>
        <w:spacing w:after="53"/>
        <w:ind w:left="426" w:right="-284"/>
        <w:jc w:val="both"/>
      </w:pPr>
    </w:p>
    <w:p w14:paraId="709A9AF1" w14:textId="77777777" w:rsidR="00425474" w:rsidRDefault="00425474" w:rsidP="0036509F">
      <w:pPr>
        <w:pStyle w:val="Default"/>
        <w:spacing w:after="120"/>
        <w:ind w:right="-284"/>
        <w:jc w:val="both"/>
        <w:rPr>
          <w:b/>
          <w:bCs/>
        </w:rPr>
      </w:pPr>
      <w:r w:rsidRPr="00425474">
        <w:rPr>
          <w:b/>
          <w:bCs/>
        </w:rPr>
        <w:t xml:space="preserve">Faktory s nepriaznivým vplyvom na realizáciu PKP </w:t>
      </w:r>
      <w:r>
        <w:rPr>
          <w:b/>
          <w:bCs/>
        </w:rPr>
        <w:t>SLM</w:t>
      </w:r>
    </w:p>
    <w:p w14:paraId="7636F3F4" w14:textId="77777777" w:rsidR="008F19C6" w:rsidRPr="00425474" w:rsidRDefault="008F19C6" w:rsidP="00AD4534">
      <w:pPr>
        <w:pStyle w:val="Default"/>
        <w:numPr>
          <w:ilvl w:val="0"/>
          <w:numId w:val="5"/>
        </w:numPr>
        <w:spacing w:after="120"/>
        <w:ind w:right="-284"/>
        <w:jc w:val="both"/>
      </w:pPr>
      <w:r>
        <w:t>v</w:t>
      </w:r>
      <w:r w:rsidR="00140168">
        <w:t>ysoká miera tolerancie drobnej korupcie zo strany verejnosti</w:t>
      </w:r>
      <w:r>
        <w:t xml:space="preserve"> a jej nezáujem na riešení celospoločenských problémov,</w:t>
      </w:r>
    </w:p>
    <w:p w14:paraId="3539C0C4" w14:textId="77777777" w:rsidR="00425474" w:rsidRPr="00425474" w:rsidRDefault="00425474" w:rsidP="00AD4534">
      <w:pPr>
        <w:pStyle w:val="Default"/>
        <w:numPr>
          <w:ilvl w:val="0"/>
          <w:numId w:val="5"/>
        </w:numPr>
        <w:spacing w:after="120"/>
        <w:ind w:right="-284"/>
        <w:jc w:val="both"/>
      </w:pPr>
      <w:r w:rsidRPr="00425474">
        <w:t xml:space="preserve">nízka dôvera zamestnancov v efektívnosť uplatňovania zavedených protikorupčných pravidiel v praxi, </w:t>
      </w:r>
    </w:p>
    <w:p w14:paraId="03A4F30D" w14:textId="77777777" w:rsidR="00425474" w:rsidRPr="00425474" w:rsidRDefault="00425474" w:rsidP="00AD4534">
      <w:pPr>
        <w:pStyle w:val="Default"/>
        <w:numPr>
          <w:ilvl w:val="0"/>
          <w:numId w:val="5"/>
        </w:numPr>
        <w:spacing w:after="120"/>
        <w:ind w:right="-284"/>
        <w:jc w:val="both"/>
      </w:pPr>
      <w:r w:rsidRPr="00425474">
        <w:t xml:space="preserve">obava zamestnancov z oznamovania korupcie, resp. iného protispoločenského konania a s tým súvisiaca nízka pravdepodobnosť odhalenia prípadov korupčného správania, </w:t>
      </w:r>
    </w:p>
    <w:p w14:paraId="6A0CF703" w14:textId="77777777" w:rsidR="00425474" w:rsidRDefault="00425474" w:rsidP="00AD4534">
      <w:pPr>
        <w:pStyle w:val="Default"/>
        <w:numPr>
          <w:ilvl w:val="0"/>
          <w:numId w:val="5"/>
        </w:numPr>
        <w:spacing w:after="120"/>
        <w:ind w:right="-284"/>
        <w:jc w:val="both"/>
      </w:pPr>
      <w:r w:rsidRPr="00425474">
        <w:t>vnímanie uplatňovania zavedených protikorupčných pravidiel a etických zásad v</w:t>
      </w:r>
      <w:r>
        <w:t> </w:t>
      </w:r>
      <w:r w:rsidRPr="00425474">
        <w:t xml:space="preserve">rámci organizácie ako formálne. </w:t>
      </w:r>
    </w:p>
    <w:p w14:paraId="0E6D1E43" w14:textId="77777777" w:rsidR="00425474" w:rsidRDefault="00425474" w:rsidP="00AD4534">
      <w:pPr>
        <w:pStyle w:val="Default"/>
        <w:spacing w:after="120"/>
        <w:ind w:right="-284"/>
        <w:jc w:val="both"/>
      </w:pPr>
    </w:p>
    <w:p w14:paraId="0B2EA099" w14:textId="28E1C3FA" w:rsidR="00A754F9" w:rsidRDefault="00A754F9" w:rsidP="00AD4534">
      <w:pPr>
        <w:pStyle w:val="Default"/>
        <w:spacing w:after="120"/>
        <w:ind w:right="-284"/>
        <w:jc w:val="both"/>
      </w:pPr>
    </w:p>
    <w:p w14:paraId="7828136D" w14:textId="77777777" w:rsidR="00E10D59" w:rsidRDefault="00E10D59" w:rsidP="00AD4534">
      <w:pPr>
        <w:pStyle w:val="Default"/>
        <w:spacing w:after="120"/>
        <w:ind w:right="-284"/>
        <w:jc w:val="both"/>
      </w:pPr>
    </w:p>
    <w:p w14:paraId="16D3C029" w14:textId="77777777" w:rsidR="008F19C6" w:rsidRPr="008F19C6" w:rsidRDefault="008F19C6" w:rsidP="00AD4534">
      <w:pPr>
        <w:pStyle w:val="Default"/>
        <w:spacing w:after="120" w:line="259" w:lineRule="auto"/>
        <w:ind w:right="-284"/>
        <w:jc w:val="both"/>
        <w:rPr>
          <w:rFonts w:ascii="Calibri" w:hAnsi="Calibri" w:cs="Calibri"/>
          <w:color w:val="1C6194" w:themeColor="accent2" w:themeShade="BF"/>
          <w:sz w:val="40"/>
          <w:szCs w:val="40"/>
        </w:rPr>
      </w:pPr>
      <w:r w:rsidRPr="008F19C6">
        <w:rPr>
          <w:rFonts w:ascii="Calibri" w:hAnsi="Calibri" w:cs="Calibri"/>
          <w:color w:val="1C6194" w:themeColor="accent2" w:themeShade="BF"/>
          <w:sz w:val="40"/>
          <w:szCs w:val="40"/>
        </w:rPr>
        <w:t>PRIORITY A CIELE PROTIKORUPČN</w:t>
      </w:r>
      <w:r>
        <w:rPr>
          <w:rFonts w:ascii="Calibri" w:hAnsi="Calibri" w:cs="Calibri"/>
          <w:color w:val="1C6194" w:themeColor="accent2" w:themeShade="BF"/>
          <w:sz w:val="40"/>
          <w:szCs w:val="40"/>
        </w:rPr>
        <w:t>ÉHO PROGRAMU</w:t>
      </w:r>
    </w:p>
    <w:p w14:paraId="547FAFAC" w14:textId="77777777" w:rsidR="00425474" w:rsidRDefault="002555D7" w:rsidP="00AD4534">
      <w:pPr>
        <w:pStyle w:val="Default"/>
        <w:spacing w:line="259" w:lineRule="auto"/>
        <w:ind w:right="-284"/>
        <w:jc w:val="both"/>
        <w:rPr>
          <w:b/>
          <w:bCs/>
        </w:rPr>
      </w:pPr>
      <w:r w:rsidRPr="002555D7">
        <w:t>Priorita 1.:</w:t>
      </w:r>
      <w:r w:rsidRPr="002555D7">
        <w:rPr>
          <w:b/>
          <w:bCs/>
        </w:rPr>
        <w:t xml:space="preserve"> Presadzovať a chrániť verejný záujem prostredníctvom zmenšovania priestoru a príležitostí pre korupciu.</w:t>
      </w:r>
    </w:p>
    <w:p w14:paraId="41833DF7" w14:textId="77777777" w:rsidR="002555D7" w:rsidRPr="002555D7" w:rsidRDefault="002555D7" w:rsidP="00AD4534">
      <w:pPr>
        <w:pStyle w:val="Default"/>
        <w:spacing w:line="259" w:lineRule="auto"/>
        <w:ind w:right="-284"/>
        <w:jc w:val="both"/>
        <w:rPr>
          <w:color w:val="auto"/>
        </w:rPr>
      </w:pPr>
    </w:p>
    <w:p w14:paraId="62ECF675" w14:textId="77777777" w:rsidR="008F19C6" w:rsidRPr="002555D7" w:rsidRDefault="008F19C6" w:rsidP="00AD4534">
      <w:pPr>
        <w:pStyle w:val="Default"/>
        <w:spacing w:line="259" w:lineRule="auto"/>
        <w:ind w:right="-284"/>
        <w:jc w:val="both"/>
        <w:rPr>
          <w:color w:val="auto"/>
        </w:rPr>
      </w:pPr>
      <w:r w:rsidRPr="002555D7">
        <w:rPr>
          <w:color w:val="auto"/>
        </w:rPr>
        <w:t>Cieľom je:</w:t>
      </w:r>
    </w:p>
    <w:p w14:paraId="37B7DC84" w14:textId="77777777" w:rsidR="002555D7" w:rsidRDefault="008F19C6" w:rsidP="00AD4534">
      <w:pPr>
        <w:pStyle w:val="Default"/>
        <w:numPr>
          <w:ilvl w:val="0"/>
          <w:numId w:val="7"/>
        </w:numPr>
        <w:spacing w:after="120" w:line="259" w:lineRule="auto"/>
        <w:ind w:right="-284"/>
        <w:jc w:val="both"/>
        <w:rPr>
          <w:color w:val="auto"/>
        </w:rPr>
      </w:pPr>
      <w:r w:rsidRPr="002555D7">
        <w:rPr>
          <w:color w:val="auto"/>
        </w:rPr>
        <w:t>Presadiť silnú kultúru verejnej inte</w:t>
      </w:r>
      <w:r w:rsidR="002555D7" w:rsidRPr="002555D7">
        <w:rPr>
          <w:color w:val="auto"/>
        </w:rPr>
        <w:t>grit</w:t>
      </w:r>
      <w:r w:rsidRPr="002555D7">
        <w:rPr>
          <w:color w:val="auto"/>
        </w:rPr>
        <w:t>y a</w:t>
      </w:r>
      <w:r w:rsidR="002555D7">
        <w:rPr>
          <w:color w:val="auto"/>
        </w:rPr>
        <w:t> </w:t>
      </w:r>
      <w:r w:rsidRPr="002555D7">
        <w:rPr>
          <w:color w:val="auto"/>
        </w:rPr>
        <w:t>vytvoriť také prostredie, v</w:t>
      </w:r>
      <w:r w:rsidR="002555D7">
        <w:rPr>
          <w:color w:val="auto"/>
        </w:rPr>
        <w:t> </w:t>
      </w:r>
      <w:r w:rsidRPr="002555D7">
        <w:rPr>
          <w:color w:val="auto"/>
        </w:rPr>
        <w:t xml:space="preserve">ktorom sa </w:t>
      </w:r>
      <w:r w:rsidR="002555D7" w:rsidRPr="002555D7">
        <w:rPr>
          <w:color w:val="auto"/>
        </w:rPr>
        <w:t>zdôrazňuje ochrana verejného záujmu a</w:t>
      </w:r>
      <w:r w:rsidR="002555D7">
        <w:rPr>
          <w:color w:val="auto"/>
        </w:rPr>
        <w:t> </w:t>
      </w:r>
      <w:r w:rsidR="002555D7" w:rsidRPr="002555D7">
        <w:rPr>
          <w:color w:val="auto"/>
        </w:rPr>
        <w:t>ktoré otvorene odmieta korupčné chovanie.</w:t>
      </w:r>
    </w:p>
    <w:p w14:paraId="23939104" w14:textId="77777777" w:rsidR="002555D7" w:rsidRPr="00A2641B" w:rsidRDefault="002555D7" w:rsidP="00AD4534">
      <w:pPr>
        <w:pStyle w:val="Default"/>
        <w:numPr>
          <w:ilvl w:val="0"/>
          <w:numId w:val="7"/>
        </w:numPr>
        <w:spacing w:after="120" w:line="259" w:lineRule="auto"/>
        <w:ind w:right="-284"/>
        <w:jc w:val="both"/>
        <w:rPr>
          <w:color w:val="auto"/>
        </w:rPr>
      </w:pPr>
      <w:r w:rsidRPr="002555D7">
        <w:t>Zmenšovať priestor a</w:t>
      </w:r>
      <w:r>
        <w:t> </w:t>
      </w:r>
      <w:r w:rsidRPr="002555D7">
        <w:t xml:space="preserve">príležitosti pre korupciu identifikovaním možných korupčných rizík. </w:t>
      </w:r>
    </w:p>
    <w:p w14:paraId="6F2F10DB" w14:textId="77777777" w:rsidR="002555D7" w:rsidRPr="00A2641B" w:rsidRDefault="002555D7" w:rsidP="00AD4534">
      <w:pPr>
        <w:pStyle w:val="Default"/>
        <w:numPr>
          <w:ilvl w:val="0"/>
          <w:numId w:val="7"/>
        </w:numPr>
        <w:spacing w:after="120" w:line="259" w:lineRule="auto"/>
        <w:ind w:right="-284"/>
        <w:jc w:val="both"/>
        <w:rPr>
          <w:color w:val="auto"/>
        </w:rPr>
      </w:pPr>
      <w:r w:rsidRPr="002555D7">
        <w:t>Zabezpečenie podmienok pre účinné a</w:t>
      </w:r>
      <w:r>
        <w:t> </w:t>
      </w:r>
      <w:r w:rsidRPr="002555D7">
        <w:t>bezpečné oznamovanie podozrení z</w:t>
      </w:r>
      <w:r>
        <w:t> </w:t>
      </w:r>
      <w:r w:rsidRPr="002555D7">
        <w:t>korupcie a</w:t>
      </w:r>
      <w:r>
        <w:t> </w:t>
      </w:r>
      <w:r w:rsidRPr="002555D7">
        <w:t>inej protispoločenskej činnosti</w:t>
      </w:r>
      <w:r w:rsidR="00A2641B">
        <w:t>.</w:t>
      </w:r>
    </w:p>
    <w:p w14:paraId="7BA6898E" w14:textId="77777777" w:rsidR="002555D7" w:rsidRPr="00A2641B" w:rsidRDefault="002555D7" w:rsidP="00AD4534">
      <w:pPr>
        <w:pStyle w:val="Default"/>
        <w:numPr>
          <w:ilvl w:val="0"/>
          <w:numId w:val="7"/>
        </w:numPr>
        <w:spacing w:after="120" w:line="259" w:lineRule="auto"/>
        <w:ind w:right="-284"/>
        <w:jc w:val="both"/>
        <w:rPr>
          <w:color w:val="auto"/>
        </w:rPr>
      </w:pPr>
      <w:r w:rsidRPr="002555D7">
        <w:t>Zavedenie a</w:t>
      </w:r>
      <w:r>
        <w:t> </w:t>
      </w:r>
      <w:r w:rsidRPr="002555D7">
        <w:t>udržiavanie funkčného systému kontroly a</w:t>
      </w:r>
      <w:r>
        <w:t> </w:t>
      </w:r>
      <w:r w:rsidRPr="002555D7">
        <w:t>odhaľovania korupčných rizík a</w:t>
      </w:r>
      <w:r w:rsidR="00D951B8">
        <w:t> </w:t>
      </w:r>
      <w:r w:rsidRPr="002555D7">
        <w:t>činností</w:t>
      </w:r>
      <w:r w:rsidR="00D951B8">
        <w:t>.</w:t>
      </w:r>
    </w:p>
    <w:p w14:paraId="3EF81149" w14:textId="77777777" w:rsidR="002555D7" w:rsidRPr="002555D7" w:rsidRDefault="002555D7" w:rsidP="00AD4534">
      <w:pPr>
        <w:pStyle w:val="Default"/>
        <w:ind w:right="-284"/>
        <w:jc w:val="both"/>
      </w:pPr>
    </w:p>
    <w:p w14:paraId="4DBBEB5F" w14:textId="77777777" w:rsidR="002555D7" w:rsidRDefault="002555D7" w:rsidP="00AD4534">
      <w:pPr>
        <w:pStyle w:val="Default"/>
        <w:ind w:right="-284"/>
        <w:jc w:val="both"/>
        <w:rPr>
          <w:b/>
          <w:bCs/>
        </w:rPr>
      </w:pPr>
      <w:r w:rsidRPr="002555D7">
        <w:t>Priorita 2:</w:t>
      </w:r>
      <w:r w:rsidRPr="002555D7">
        <w:rPr>
          <w:b/>
          <w:bCs/>
        </w:rPr>
        <w:t xml:space="preserve"> Zvyšovanie protikorupčného povedomia zamestnancov </w:t>
      </w:r>
      <w:r w:rsidR="00665DCE">
        <w:rPr>
          <w:b/>
          <w:bCs/>
        </w:rPr>
        <w:t>SLM</w:t>
      </w:r>
      <w:r w:rsidRPr="002555D7">
        <w:rPr>
          <w:b/>
          <w:bCs/>
        </w:rPr>
        <w:t xml:space="preserve"> prostredníctvom protikorupčného vzdelávania.</w:t>
      </w:r>
    </w:p>
    <w:p w14:paraId="3D416AC9" w14:textId="77777777" w:rsidR="002555D7" w:rsidRDefault="002555D7" w:rsidP="00AD4534">
      <w:pPr>
        <w:pStyle w:val="Default"/>
        <w:ind w:right="-284"/>
        <w:jc w:val="both"/>
        <w:rPr>
          <w:b/>
          <w:bCs/>
        </w:rPr>
      </w:pPr>
    </w:p>
    <w:p w14:paraId="11AA819B" w14:textId="77777777" w:rsidR="002555D7" w:rsidRDefault="002555D7" w:rsidP="00AD4534">
      <w:pPr>
        <w:pStyle w:val="Default"/>
        <w:ind w:right="-284"/>
        <w:jc w:val="both"/>
      </w:pPr>
      <w:r w:rsidRPr="002555D7">
        <w:t>Cieľom je:</w:t>
      </w:r>
    </w:p>
    <w:p w14:paraId="553ACFF4" w14:textId="77777777" w:rsidR="002555D7" w:rsidRDefault="002555D7" w:rsidP="00AD4534">
      <w:pPr>
        <w:pStyle w:val="Default"/>
        <w:numPr>
          <w:ilvl w:val="0"/>
          <w:numId w:val="7"/>
        </w:numPr>
        <w:ind w:right="-284"/>
        <w:jc w:val="both"/>
      </w:pPr>
      <w:r>
        <w:rPr>
          <w:sz w:val="22"/>
          <w:szCs w:val="22"/>
        </w:rPr>
        <w:t>Rozvíjať protikorupčné povedomie zamestnancov a poskytovať protikorupčnú odbornú prípravu prostredníctvom protikorupčného vzdelávania.</w:t>
      </w:r>
    </w:p>
    <w:p w14:paraId="4C48A9C4" w14:textId="77777777" w:rsidR="002555D7" w:rsidRPr="002555D7" w:rsidRDefault="002555D7" w:rsidP="00AD4534">
      <w:pPr>
        <w:pStyle w:val="Default"/>
        <w:ind w:right="-284"/>
        <w:jc w:val="both"/>
      </w:pPr>
    </w:p>
    <w:p w14:paraId="1AA5B426" w14:textId="77777777" w:rsidR="002555D7" w:rsidRPr="002555D7" w:rsidRDefault="002555D7" w:rsidP="00AD4534">
      <w:pPr>
        <w:pStyle w:val="Default"/>
        <w:spacing w:line="259" w:lineRule="auto"/>
        <w:ind w:right="-284"/>
        <w:jc w:val="both"/>
        <w:rPr>
          <w:color w:val="auto"/>
        </w:rPr>
      </w:pPr>
    </w:p>
    <w:p w14:paraId="61FCD784" w14:textId="77777777" w:rsidR="004B1119" w:rsidRDefault="002555D7" w:rsidP="00AD4534">
      <w:pPr>
        <w:pStyle w:val="Default"/>
        <w:spacing w:after="120" w:line="259" w:lineRule="auto"/>
        <w:ind w:right="-284"/>
        <w:jc w:val="both"/>
        <w:rPr>
          <w:rFonts w:ascii="Calibri" w:hAnsi="Calibri" w:cs="Calibri"/>
          <w:color w:val="1C6194" w:themeColor="accent2" w:themeShade="BF"/>
          <w:sz w:val="40"/>
          <w:szCs w:val="40"/>
        </w:rPr>
      </w:pPr>
      <w:r w:rsidRPr="00C500FD">
        <w:rPr>
          <w:rFonts w:ascii="Calibri" w:hAnsi="Calibri" w:cs="Calibri"/>
          <w:color w:val="1C6194" w:themeColor="accent2" w:themeShade="BF"/>
          <w:sz w:val="40"/>
          <w:szCs w:val="40"/>
        </w:rPr>
        <w:t>RIADENIE KORUPČNÝCH RIZ</w:t>
      </w:r>
      <w:r w:rsidR="00C500FD" w:rsidRPr="00C500FD">
        <w:rPr>
          <w:rFonts w:ascii="Calibri" w:hAnsi="Calibri" w:cs="Calibri"/>
          <w:color w:val="1C6194" w:themeColor="accent2" w:themeShade="BF"/>
          <w:sz w:val="40"/>
          <w:szCs w:val="40"/>
        </w:rPr>
        <w:t>ÍK</w:t>
      </w:r>
    </w:p>
    <w:p w14:paraId="3BE4C842" w14:textId="77777777" w:rsidR="00C500FD" w:rsidRPr="00A754F9" w:rsidRDefault="00E86832" w:rsidP="00AD4534">
      <w:pPr>
        <w:pStyle w:val="Default"/>
        <w:spacing w:line="259" w:lineRule="auto"/>
        <w:ind w:right="-284"/>
        <w:jc w:val="both"/>
        <w:rPr>
          <w:color w:val="auto"/>
        </w:rPr>
      </w:pPr>
      <w:r w:rsidRPr="00A754F9">
        <w:rPr>
          <w:color w:val="auto"/>
        </w:rPr>
        <w:t xml:space="preserve">Riadenie korupčných rizík predstavuje jednu z najdôležitejších súčastí protikorupčnej politiky, pričom na jej základe sa uskutočňuje identifikácia jednotlivých korupčných rizík, rizikových oblastí, procesov a činností z pohľadu korupcie. </w:t>
      </w:r>
    </w:p>
    <w:p w14:paraId="52E355A1" w14:textId="77777777" w:rsidR="00E86832" w:rsidRDefault="003B7850" w:rsidP="00AD4534">
      <w:pPr>
        <w:pStyle w:val="Default"/>
        <w:spacing w:line="259" w:lineRule="auto"/>
        <w:ind w:right="-284"/>
        <w:jc w:val="both"/>
      </w:pPr>
      <w:r w:rsidRPr="00A754F9">
        <w:rPr>
          <w:color w:val="auto"/>
        </w:rPr>
        <w:t xml:space="preserve">Riadením rizík sa </w:t>
      </w:r>
      <w:r w:rsidR="00665DCE">
        <w:rPr>
          <w:color w:val="auto"/>
        </w:rPr>
        <w:t>rozumie</w:t>
      </w:r>
      <w:r w:rsidR="00665DCE" w:rsidRPr="00A754F9">
        <w:rPr>
          <w:color w:val="auto"/>
        </w:rPr>
        <w:t xml:space="preserve"> </w:t>
      </w:r>
      <w:r w:rsidRPr="00A754F9">
        <w:rPr>
          <w:color w:val="auto"/>
        </w:rPr>
        <w:t xml:space="preserve">systematické uplatňovanie politík, postupov a praxe riadenia na úlohy týkajúce sa analýzy, hodnotenia </w:t>
      </w:r>
      <w:r>
        <w:t>a ovládnutie rizík.</w:t>
      </w:r>
      <w:r>
        <w:rPr>
          <w:rStyle w:val="Odkaznapoznmkupodiarou"/>
        </w:rPr>
        <w:footnoteReference w:id="3"/>
      </w:r>
      <w:r w:rsidRPr="003B7850">
        <w:t xml:space="preserve"> </w:t>
      </w:r>
      <w:r>
        <w:t>Rozumie sa tým proces zisťovania a posudzovania potenciálnych vnútorných a vonkajších rizík, ktoré môžu mať nepriaznivý vplyv na dosiahnutie cieľov organizácie a uskutočňovanie nevyhnutných kontrol na udržanie miery korupčného rizika na prijateľnej úrovni alebo na zníženie následkov možného rizika na prijateľnej úrovni.</w:t>
      </w:r>
      <w:r>
        <w:rPr>
          <w:rStyle w:val="Odkaznapoznmkupodiarou"/>
        </w:rPr>
        <w:footnoteReference w:id="4"/>
      </w:r>
      <w:r w:rsidRPr="003B7850">
        <w:t xml:space="preserve"> </w:t>
      </w:r>
      <w:r>
        <w:t>Posudzuje sa závažnosť korupčných rizík z hľadiska ich vplyvu na činnosť, ciele a dôveryhodnosť organizácie, analyzujú sa ich príčiny a vytvára sa podklad na prijatie nápravných opatrení na oslabenie alebo odstránenie korupčných rizík.</w:t>
      </w:r>
    </w:p>
    <w:p w14:paraId="7658F087" w14:textId="77777777" w:rsidR="003B7850" w:rsidRDefault="003B7850" w:rsidP="00AD4534">
      <w:pPr>
        <w:pStyle w:val="Default"/>
        <w:spacing w:line="259" w:lineRule="auto"/>
        <w:ind w:right="-284"/>
        <w:jc w:val="both"/>
      </w:pPr>
      <w:r>
        <w:lastRenderedPageBreak/>
        <w:t xml:space="preserve">Je dôležité dôsledne sledovať zmeny a varovné signály v organizácii. Tie by mali byť </w:t>
      </w:r>
      <w:proofErr w:type="spellStart"/>
      <w:r w:rsidR="00CA07DA">
        <w:t>detekované</w:t>
      </w:r>
      <w:proofErr w:type="spellEnd"/>
      <w:r w:rsidR="00CA07DA">
        <w:t xml:space="preserve">, </w:t>
      </w:r>
      <w:r>
        <w:t xml:space="preserve">následne vyhodnotené </w:t>
      </w:r>
      <w:r w:rsidR="00CA07DA">
        <w:t xml:space="preserve">a mali by k nim byť prijaté nápravné opatrenia. </w:t>
      </w:r>
      <w:r>
        <w:t xml:space="preserve">Pomôckou pri identifikácii rizík </w:t>
      </w:r>
      <w:r w:rsidR="00CA07DA">
        <w:t>môže byť zoznam rizík zverejnený a priebežne dopĺňaný na:</w:t>
      </w:r>
    </w:p>
    <w:p w14:paraId="04B6C713" w14:textId="2432CBF9" w:rsidR="00170E73" w:rsidRDefault="00000000" w:rsidP="00AD4534">
      <w:pPr>
        <w:pStyle w:val="Default"/>
        <w:spacing w:line="259" w:lineRule="auto"/>
        <w:ind w:right="-284"/>
        <w:jc w:val="both"/>
      </w:pPr>
      <w:hyperlink r:id="rId9" w:history="1">
        <w:r w:rsidR="00170E73" w:rsidRPr="00C818FF">
          <w:rPr>
            <w:rStyle w:val="Hypertextovprepojenie"/>
          </w:rPr>
          <w:t>https://www.bojprotikorupcii.gov.sk/19499-sk/metodicke-odporucanie-k-riadeniu-korupcnych-rizik/?csrt=7742343511138988339</w:t>
        </w:r>
      </w:hyperlink>
    </w:p>
    <w:p w14:paraId="597D0536" w14:textId="77777777" w:rsidR="00170E73" w:rsidRDefault="00170E73" w:rsidP="00AD4534">
      <w:pPr>
        <w:pStyle w:val="Default"/>
        <w:spacing w:line="259" w:lineRule="auto"/>
        <w:ind w:right="-284"/>
        <w:jc w:val="both"/>
      </w:pPr>
    </w:p>
    <w:p w14:paraId="35B2A998" w14:textId="77777777" w:rsidR="00F4117D" w:rsidRPr="0036509F" w:rsidRDefault="00F4117D" w:rsidP="0036509F">
      <w:pPr>
        <w:pStyle w:val="Default"/>
        <w:spacing w:after="120" w:line="259" w:lineRule="auto"/>
        <w:ind w:right="-284"/>
        <w:jc w:val="both"/>
        <w:rPr>
          <w:rFonts w:ascii="Calibri" w:hAnsi="Calibri" w:cs="Calibri"/>
          <w:color w:val="1C6194" w:themeColor="accent2" w:themeShade="BF"/>
          <w:sz w:val="40"/>
          <w:szCs w:val="40"/>
        </w:rPr>
      </w:pPr>
      <w:r w:rsidRPr="0036509F">
        <w:rPr>
          <w:rFonts w:ascii="Calibri" w:hAnsi="Calibri" w:cs="Calibri"/>
          <w:color w:val="1C6194" w:themeColor="accent2" w:themeShade="BF"/>
          <w:sz w:val="40"/>
          <w:szCs w:val="40"/>
        </w:rPr>
        <w:t>PROTIKORUPČN</w:t>
      </w:r>
      <w:r w:rsidR="00A754F9" w:rsidRPr="0036509F">
        <w:rPr>
          <w:rFonts w:ascii="Calibri" w:hAnsi="Calibri" w:cs="Calibri"/>
          <w:color w:val="1C6194" w:themeColor="accent2" w:themeShade="BF"/>
          <w:sz w:val="40"/>
          <w:szCs w:val="40"/>
        </w:rPr>
        <w:t>É</w:t>
      </w:r>
      <w:r w:rsidRPr="0036509F">
        <w:rPr>
          <w:rFonts w:ascii="Calibri" w:hAnsi="Calibri" w:cs="Calibri"/>
          <w:color w:val="1C6194" w:themeColor="accent2" w:themeShade="BF"/>
          <w:sz w:val="40"/>
          <w:szCs w:val="40"/>
        </w:rPr>
        <w:t xml:space="preserve"> OPATRENIA</w:t>
      </w:r>
    </w:p>
    <w:p w14:paraId="2220F893" w14:textId="77777777" w:rsidR="00F4117D" w:rsidRPr="00F4117D" w:rsidRDefault="00F4117D" w:rsidP="00AD4534">
      <w:pPr>
        <w:pStyle w:val="Default"/>
        <w:spacing w:line="259" w:lineRule="auto"/>
        <w:ind w:right="-284"/>
        <w:jc w:val="both"/>
        <w:rPr>
          <w:color w:val="auto"/>
        </w:rPr>
      </w:pPr>
      <w:r w:rsidRPr="00F4117D">
        <w:rPr>
          <w:color w:val="auto"/>
        </w:rPr>
        <w:t>Vzhľadom na vykonanú analýzu jednotlivých rozhodovacích procesov a činností v SLM sa týmto protikorupčným programom ukladajú nasledujúce opatrenia:</w:t>
      </w:r>
    </w:p>
    <w:p w14:paraId="65ECD666" w14:textId="77777777" w:rsidR="00F4117D" w:rsidRDefault="00F4117D" w:rsidP="00AD4534">
      <w:pPr>
        <w:pStyle w:val="Default"/>
        <w:numPr>
          <w:ilvl w:val="0"/>
          <w:numId w:val="9"/>
        </w:numPr>
        <w:spacing w:line="259" w:lineRule="auto"/>
        <w:ind w:right="-284"/>
        <w:jc w:val="both"/>
        <w:rPr>
          <w:color w:val="auto"/>
        </w:rPr>
      </w:pPr>
      <w:r w:rsidRPr="00F4117D">
        <w:rPr>
          <w:color w:val="auto"/>
        </w:rPr>
        <w:t>Aktualizovať podľa potreby interné dokumenty a predpisy spoločnosti vrátane zmluvnej dokumentácie spoločnosti o ustanovenia zdôrazňujúce silnú protikorupčnú orientáciu</w:t>
      </w:r>
      <w:r w:rsidR="002C1F7B">
        <w:rPr>
          <w:color w:val="auto"/>
        </w:rPr>
        <w:t>.</w:t>
      </w:r>
    </w:p>
    <w:p w14:paraId="49E9ED55" w14:textId="77777777" w:rsidR="00F4117D" w:rsidRDefault="00F4117D" w:rsidP="00AD4534">
      <w:pPr>
        <w:pStyle w:val="Default"/>
        <w:spacing w:after="120" w:line="259" w:lineRule="auto"/>
        <w:ind w:left="720" w:right="-284"/>
        <w:jc w:val="both"/>
        <w:rPr>
          <w:color w:val="auto"/>
        </w:rPr>
      </w:pPr>
      <w:r>
        <w:rPr>
          <w:color w:val="auto"/>
        </w:rPr>
        <w:t xml:space="preserve">Cieľ: </w:t>
      </w:r>
      <w:r w:rsidRPr="002555D7">
        <w:rPr>
          <w:color w:val="auto"/>
        </w:rPr>
        <w:t>Presadiť silnú kultúru verejnej integrity a</w:t>
      </w:r>
      <w:r>
        <w:rPr>
          <w:color w:val="auto"/>
        </w:rPr>
        <w:t> </w:t>
      </w:r>
      <w:r w:rsidRPr="002555D7">
        <w:rPr>
          <w:color w:val="auto"/>
        </w:rPr>
        <w:t>vytvoriť také prostredie, v</w:t>
      </w:r>
      <w:r>
        <w:rPr>
          <w:color w:val="auto"/>
        </w:rPr>
        <w:t> </w:t>
      </w:r>
      <w:r w:rsidRPr="002555D7">
        <w:rPr>
          <w:color w:val="auto"/>
        </w:rPr>
        <w:t>ktorom sa zdôrazňuje ochrana verejného záujmu a</w:t>
      </w:r>
      <w:r>
        <w:rPr>
          <w:color w:val="auto"/>
        </w:rPr>
        <w:t> </w:t>
      </w:r>
      <w:r w:rsidRPr="002555D7">
        <w:rPr>
          <w:color w:val="auto"/>
        </w:rPr>
        <w:t>ktoré otvorene odmieta korupčné chovanie.</w:t>
      </w:r>
    </w:p>
    <w:p w14:paraId="2E42AD66" w14:textId="77777777" w:rsidR="00F4117D" w:rsidRDefault="00F4117D" w:rsidP="00AD4534">
      <w:pPr>
        <w:pStyle w:val="Default"/>
        <w:numPr>
          <w:ilvl w:val="0"/>
          <w:numId w:val="9"/>
        </w:numPr>
        <w:spacing w:line="259" w:lineRule="auto"/>
        <w:ind w:right="-284"/>
        <w:jc w:val="both"/>
        <w:rPr>
          <w:color w:val="auto"/>
        </w:rPr>
      </w:pPr>
      <w:r>
        <w:rPr>
          <w:color w:val="auto"/>
        </w:rPr>
        <w:t xml:space="preserve">Nepretržite monitorovať interné a externé prostredie SLM z protikorupčného hľadiska a analyzovať jej protikorupčnú odolnosť. </w:t>
      </w:r>
    </w:p>
    <w:p w14:paraId="4F02DB86" w14:textId="77777777" w:rsidR="00F4117D" w:rsidRDefault="00F4117D" w:rsidP="00AD4534">
      <w:pPr>
        <w:pStyle w:val="Default"/>
        <w:spacing w:after="120" w:line="259" w:lineRule="auto"/>
        <w:ind w:left="720" w:right="-284"/>
        <w:jc w:val="both"/>
        <w:rPr>
          <w:color w:val="auto"/>
        </w:rPr>
      </w:pPr>
      <w:r>
        <w:rPr>
          <w:color w:val="auto"/>
        </w:rPr>
        <w:t xml:space="preserve">Cieľ: </w:t>
      </w:r>
      <w:r w:rsidRPr="002555D7">
        <w:rPr>
          <w:color w:val="auto"/>
        </w:rPr>
        <w:t>Presadiť silnú kultúru verejnej integrity a</w:t>
      </w:r>
      <w:r>
        <w:rPr>
          <w:color w:val="auto"/>
        </w:rPr>
        <w:t> </w:t>
      </w:r>
      <w:r w:rsidRPr="002555D7">
        <w:rPr>
          <w:color w:val="auto"/>
        </w:rPr>
        <w:t>vytvoriť také prostredie, v</w:t>
      </w:r>
      <w:r>
        <w:rPr>
          <w:color w:val="auto"/>
        </w:rPr>
        <w:t> </w:t>
      </w:r>
      <w:r w:rsidRPr="002555D7">
        <w:rPr>
          <w:color w:val="auto"/>
        </w:rPr>
        <w:t>ktorom sa zdôrazňuje ochrana verejného záujmu a</w:t>
      </w:r>
      <w:r>
        <w:rPr>
          <w:color w:val="auto"/>
        </w:rPr>
        <w:t> </w:t>
      </w:r>
      <w:r w:rsidRPr="002555D7">
        <w:rPr>
          <w:color w:val="auto"/>
        </w:rPr>
        <w:t>ktoré otvorene odmieta korupčné chovanie.</w:t>
      </w:r>
    </w:p>
    <w:p w14:paraId="3BAC89BC" w14:textId="77777777" w:rsidR="00F4117D" w:rsidRPr="00D951B8" w:rsidRDefault="001F13DA" w:rsidP="00AD4534">
      <w:pPr>
        <w:pStyle w:val="Default"/>
        <w:numPr>
          <w:ilvl w:val="0"/>
          <w:numId w:val="9"/>
        </w:numPr>
        <w:spacing w:line="259" w:lineRule="auto"/>
        <w:ind w:right="-284"/>
        <w:jc w:val="both"/>
        <w:rPr>
          <w:color w:val="auto"/>
        </w:rPr>
      </w:pPr>
      <w:r>
        <w:rPr>
          <w:color w:val="auto"/>
        </w:rPr>
        <w:t>Aktualizovať a uplatňovať interný predpis, ktorým sa upravujú podmienky vnútorného systému preverovania oznámení súvisiacich s oznamovaním protispoločenskej činnosti vrátane korupcie a</w:t>
      </w:r>
      <w:r w:rsidR="00D951B8">
        <w:rPr>
          <w:color w:val="auto"/>
        </w:rPr>
        <w:t xml:space="preserve"> zaviesť nové nástroje a podnecovať k využívaniu existujúcich nástrojov na prijímanie oznámení o podozreniach z korupcie, korupčného správania a protispoločenskej činnosti </w:t>
      </w:r>
      <w:r w:rsidR="00D951B8" w:rsidRPr="00E02D9C">
        <w:rPr>
          <w:color w:val="auto"/>
        </w:rPr>
        <w:t>(e-mailovú adresu,  tel. linku).</w:t>
      </w:r>
    </w:p>
    <w:p w14:paraId="652CB3E8" w14:textId="77777777" w:rsidR="00D951B8" w:rsidRPr="00A2641B" w:rsidRDefault="00D951B8" w:rsidP="00AD4534">
      <w:pPr>
        <w:pStyle w:val="Default"/>
        <w:spacing w:after="120" w:line="259" w:lineRule="auto"/>
        <w:ind w:left="720" w:right="-284"/>
        <w:jc w:val="both"/>
        <w:rPr>
          <w:color w:val="auto"/>
        </w:rPr>
      </w:pPr>
      <w:r>
        <w:t xml:space="preserve">Cieľ: </w:t>
      </w:r>
      <w:r w:rsidRPr="002555D7">
        <w:t>Zabezpečenie podmienok pre účinné a</w:t>
      </w:r>
      <w:r>
        <w:t> </w:t>
      </w:r>
      <w:r w:rsidRPr="002555D7">
        <w:t>bezpečné oznamovanie podozrení z</w:t>
      </w:r>
      <w:r>
        <w:t> </w:t>
      </w:r>
      <w:r w:rsidRPr="002555D7">
        <w:t>korupcie a</w:t>
      </w:r>
      <w:r>
        <w:t> </w:t>
      </w:r>
      <w:r w:rsidRPr="002555D7">
        <w:t>inej protispoločenskej činnosti</w:t>
      </w:r>
      <w:r>
        <w:t>.</w:t>
      </w:r>
    </w:p>
    <w:p w14:paraId="7EFEB779" w14:textId="77777777" w:rsidR="00D951B8" w:rsidRDefault="00D951B8" w:rsidP="00AD4534">
      <w:pPr>
        <w:pStyle w:val="Default"/>
        <w:numPr>
          <w:ilvl w:val="0"/>
          <w:numId w:val="9"/>
        </w:numPr>
        <w:spacing w:line="259" w:lineRule="auto"/>
        <w:ind w:left="714" w:right="-284" w:hanging="357"/>
        <w:jc w:val="both"/>
        <w:rPr>
          <w:color w:val="auto"/>
        </w:rPr>
      </w:pPr>
      <w:r>
        <w:rPr>
          <w:color w:val="auto"/>
        </w:rPr>
        <w:t>Dohliadať na plnú uplatniteľnosť tohto Protikorupčného programu a zabezpečiť jeho pravidelnú aktualizáciu.</w:t>
      </w:r>
    </w:p>
    <w:p w14:paraId="0CD1A841" w14:textId="77777777" w:rsidR="00D951B8" w:rsidRDefault="00D951B8" w:rsidP="00AD4534">
      <w:pPr>
        <w:pStyle w:val="Default"/>
        <w:spacing w:after="120" w:line="259" w:lineRule="auto"/>
        <w:ind w:left="720" w:right="-284"/>
        <w:jc w:val="both"/>
      </w:pPr>
      <w:r>
        <w:rPr>
          <w:color w:val="auto"/>
        </w:rPr>
        <w:t>Cieľ:</w:t>
      </w:r>
      <w:r w:rsidRPr="00D951B8">
        <w:t xml:space="preserve"> </w:t>
      </w:r>
      <w:r w:rsidRPr="002555D7">
        <w:t>Zavedenie a</w:t>
      </w:r>
      <w:r>
        <w:t> </w:t>
      </w:r>
      <w:r w:rsidRPr="002555D7">
        <w:t>udržiavanie funkčného systému kontroly a</w:t>
      </w:r>
      <w:r>
        <w:t> </w:t>
      </w:r>
      <w:r w:rsidRPr="002555D7">
        <w:t>odhaľovania korupčných rizík a</w:t>
      </w:r>
      <w:r>
        <w:t> </w:t>
      </w:r>
      <w:r w:rsidRPr="002555D7">
        <w:t>činností</w:t>
      </w:r>
      <w:r>
        <w:t>.</w:t>
      </w:r>
    </w:p>
    <w:p w14:paraId="62306C80" w14:textId="77777777" w:rsidR="00E86832" w:rsidRDefault="00E86832" w:rsidP="00AD4534">
      <w:pPr>
        <w:pStyle w:val="Default"/>
        <w:numPr>
          <w:ilvl w:val="0"/>
          <w:numId w:val="9"/>
        </w:numPr>
        <w:ind w:right="-284"/>
        <w:jc w:val="both"/>
      </w:pPr>
      <w:r w:rsidRPr="00E86832">
        <w:t xml:space="preserve">Zvyšovanie protikorupčného povedomia zamestnancov prostredníctvom protikorupčného vzdelávania. </w:t>
      </w:r>
      <w:r>
        <w:t>SLM</w:t>
      </w:r>
      <w:r w:rsidRPr="00E86832">
        <w:t xml:space="preserve"> musí primerane a vhodne rozvíjať protikorupčné povedomie zamestnancov a poskytovať protikorupčnú odbornú prípravu. </w:t>
      </w:r>
    </w:p>
    <w:p w14:paraId="76BF4EC0" w14:textId="77777777" w:rsidR="00E86832" w:rsidRPr="00E86832" w:rsidRDefault="00E86832" w:rsidP="00AD4534">
      <w:pPr>
        <w:pStyle w:val="Default"/>
        <w:ind w:left="720" w:right="-284"/>
        <w:jc w:val="both"/>
      </w:pPr>
      <w:r>
        <w:t xml:space="preserve">Cieľ: </w:t>
      </w:r>
      <w:r w:rsidRPr="00E86832">
        <w:t>Rozvíjať protikorupčné povedomie zamestnancov a poskytovať protikorupčnú odbornú prípravu prostredníctvom protikorupčného vzdelávania.</w:t>
      </w:r>
    </w:p>
    <w:p w14:paraId="243D1D4E" w14:textId="77777777" w:rsidR="00E86832" w:rsidRDefault="00E86832" w:rsidP="00AD4534">
      <w:pPr>
        <w:pStyle w:val="Default"/>
        <w:ind w:left="360" w:right="-284" w:firstLine="348"/>
        <w:jc w:val="both"/>
      </w:pPr>
    </w:p>
    <w:p w14:paraId="5799EF0F" w14:textId="77777777" w:rsidR="00AD4534" w:rsidRDefault="00AD4534" w:rsidP="00AD4534">
      <w:pPr>
        <w:pStyle w:val="Default"/>
        <w:ind w:left="360" w:right="-284" w:firstLine="348"/>
        <w:jc w:val="both"/>
      </w:pPr>
    </w:p>
    <w:p w14:paraId="4774F55B" w14:textId="77777777" w:rsidR="00AD4534" w:rsidRDefault="00AD4534" w:rsidP="00AD4534">
      <w:pPr>
        <w:pStyle w:val="Default"/>
        <w:ind w:left="360" w:right="-284" w:firstLine="348"/>
        <w:jc w:val="both"/>
      </w:pPr>
    </w:p>
    <w:p w14:paraId="6CF574E7" w14:textId="77777777" w:rsidR="00AD4534" w:rsidRDefault="00AD4534" w:rsidP="00AD4534">
      <w:pPr>
        <w:pStyle w:val="Default"/>
        <w:ind w:left="360" w:right="-284" w:firstLine="348"/>
        <w:jc w:val="both"/>
      </w:pPr>
    </w:p>
    <w:p w14:paraId="1F92C1BF" w14:textId="347E32FC" w:rsidR="00AD4534" w:rsidRDefault="00AD4534" w:rsidP="00AD4534">
      <w:pPr>
        <w:pStyle w:val="Default"/>
        <w:ind w:left="360" w:right="-284" w:firstLine="348"/>
        <w:jc w:val="both"/>
      </w:pPr>
    </w:p>
    <w:p w14:paraId="6876C716" w14:textId="77777777" w:rsidR="00E10D59" w:rsidRPr="00E86832" w:rsidRDefault="00E10D59" w:rsidP="00AD4534">
      <w:pPr>
        <w:pStyle w:val="Default"/>
        <w:ind w:left="360" w:right="-284" w:firstLine="348"/>
        <w:jc w:val="both"/>
      </w:pPr>
    </w:p>
    <w:p w14:paraId="5C1F91BB" w14:textId="77777777" w:rsidR="00D951B8" w:rsidRDefault="00CA07DA" w:rsidP="00AD4534">
      <w:pPr>
        <w:pStyle w:val="Default"/>
        <w:spacing w:after="120" w:line="259" w:lineRule="auto"/>
        <w:ind w:right="-284"/>
        <w:jc w:val="both"/>
        <w:rPr>
          <w:rFonts w:ascii="Calibri" w:hAnsi="Calibri" w:cs="Calibri"/>
          <w:color w:val="1C6194" w:themeColor="accent2" w:themeShade="BF"/>
          <w:sz w:val="40"/>
          <w:szCs w:val="40"/>
        </w:rPr>
      </w:pPr>
      <w:r w:rsidRPr="00CA07DA">
        <w:rPr>
          <w:rFonts w:ascii="Calibri" w:hAnsi="Calibri" w:cs="Calibri"/>
          <w:color w:val="1C6194" w:themeColor="accent2" w:themeShade="BF"/>
          <w:sz w:val="40"/>
          <w:szCs w:val="40"/>
        </w:rPr>
        <w:lastRenderedPageBreak/>
        <w:t>MONITOROVANIE, HODNOTENIE A AKTUALIZÁCIA PKP SLM</w:t>
      </w:r>
    </w:p>
    <w:p w14:paraId="42268880" w14:textId="77777777" w:rsidR="00CA07DA" w:rsidRDefault="00CA07DA" w:rsidP="00AD4534">
      <w:pPr>
        <w:pStyle w:val="Default"/>
        <w:spacing w:line="259" w:lineRule="auto"/>
        <w:ind w:right="-284"/>
        <w:jc w:val="both"/>
      </w:pPr>
      <w:r>
        <w:t xml:space="preserve">Cieľom monitorovania </w:t>
      </w:r>
      <w:r w:rsidR="0036509F">
        <w:t>PKP SLM</w:t>
      </w:r>
      <w:r>
        <w:t xml:space="preserve"> je vzhľadom na stanovené priority a ciele priebežne sledovať vykonávanie prijatých opatrení, ktoré majú viesť k oslabeniu alebo odstráneniu identifikovaných rizík.</w:t>
      </w:r>
    </w:p>
    <w:p w14:paraId="5B4F80F9" w14:textId="77777777" w:rsidR="00CA07DA" w:rsidRDefault="00CA07DA" w:rsidP="00AD4534">
      <w:pPr>
        <w:pStyle w:val="Default"/>
        <w:spacing w:line="259" w:lineRule="auto"/>
        <w:ind w:right="-284"/>
        <w:jc w:val="both"/>
      </w:pPr>
      <w:r>
        <w:t xml:space="preserve">Monitorovanie je proces, ktorým sa permanentne overuje správne navrhnutie protikorupčného programu, dosahovanie cieľov a účinnosť navrhnutých opatrení a postupov. </w:t>
      </w:r>
    </w:p>
    <w:p w14:paraId="1413AE92" w14:textId="77777777" w:rsidR="00CA07DA" w:rsidRDefault="00CA07DA" w:rsidP="00AD4534">
      <w:pPr>
        <w:pStyle w:val="Default"/>
        <w:spacing w:line="259" w:lineRule="auto"/>
        <w:ind w:right="-284"/>
        <w:jc w:val="both"/>
      </w:pPr>
      <w:r>
        <w:t>Na zabezpečenie riadneho a bezproblémového priebehu monitorovania je nutná spolupráca a súčinnosť všetkých útvarov SLM.</w:t>
      </w:r>
    </w:p>
    <w:p w14:paraId="521CCFE9" w14:textId="77777777" w:rsidR="00CA07DA" w:rsidRDefault="00CA07DA" w:rsidP="00AD4534">
      <w:pPr>
        <w:pStyle w:val="Default"/>
        <w:spacing w:line="259" w:lineRule="auto"/>
        <w:ind w:right="-284"/>
        <w:jc w:val="both"/>
      </w:pPr>
      <w:r>
        <w:t>Protikorupčný program SLM je otvoreným dokumentom, ktorý sa v záujme zvyšovania účinnosti prevencie korupcie bude v prípade potreby</w:t>
      </w:r>
      <w:r w:rsidR="00A754F9">
        <w:t xml:space="preserve"> aktualizovať. </w:t>
      </w:r>
    </w:p>
    <w:p w14:paraId="3660F250" w14:textId="77777777" w:rsidR="00A754F9" w:rsidRDefault="00A754F9" w:rsidP="00AD4534">
      <w:pPr>
        <w:pStyle w:val="Default"/>
        <w:spacing w:line="259" w:lineRule="auto"/>
        <w:ind w:right="-284"/>
        <w:jc w:val="both"/>
      </w:pPr>
      <w:r>
        <w:t>Monitorovanie a hodnotenie bude vykonávané raz ročne a to do 30. apríla nasledujúceho kalendárneho roka, pričom z výsledkov bude vypracovaná hodnotiaca správa o plnení PKP SLM.</w:t>
      </w:r>
    </w:p>
    <w:p w14:paraId="403CCAA4" w14:textId="77777777" w:rsidR="00CA07DA" w:rsidRPr="00CA07DA" w:rsidRDefault="00CA07DA" w:rsidP="00AD4534">
      <w:pPr>
        <w:pStyle w:val="Default"/>
        <w:spacing w:line="259" w:lineRule="auto"/>
        <w:ind w:right="-284"/>
        <w:jc w:val="both"/>
      </w:pPr>
    </w:p>
    <w:p w14:paraId="7736DEC6" w14:textId="77777777" w:rsidR="00D951B8" w:rsidRDefault="00D951B8" w:rsidP="00AD4534">
      <w:pPr>
        <w:pStyle w:val="Default"/>
        <w:spacing w:after="120" w:line="259" w:lineRule="auto"/>
        <w:ind w:right="-284"/>
        <w:jc w:val="both"/>
      </w:pPr>
    </w:p>
    <w:p w14:paraId="0F0D5309" w14:textId="77777777" w:rsidR="00D951B8" w:rsidRDefault="00D951B8" w:rsidP="00AD4534">
      <w:pPr>
        <w:pStyle w:val="Default"/>
        <w:spacing w:after="120" w:line="259" w:lineRule="auto"/>
        <w:ind w:right="-284"/>
        <w:jc w:val="both"/>
        <w:rPr>
          <w:color w:val="auto"/>
        </w:rPr>
      </w:pPr>
    </w:p>
    <w:p w14:paraId="0D37328D" w14:textId="77777777" w:rsidR="00D951B8" w:rsidRPr="00D951B8" w:rsidRDefault="00D951B8" w:rsidP="00AD4534">
      <w:pPr>
        <w:pStyle w:val="Default"/>
        <w:spacing w:after="120" w:line="259" w:lineRule="auto"/>
        <w:ind w:left="720" w:right="-284"/>
        <w:jc w:val="both"/>
        <w:rPr>
          <w:color w:val="auto"/>
        </w:rPr>
      </w:pPr>
    </w:p>
    <w:sectPr w:rsidR="00D951B8" w:rsidRPr="00D951B8" w:rsidSect="00AD4534">
      <w:headerReference w:type="default" r:id="rId10"/>
      <w:footerReference w:type="default" r:id="rId11"/>
      <w:pgSz w:w="11906" w:h="16838"/>
      <w:pgMar w:top="1417" w:right="1417" w:bottom="1417" w:left="1417"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F87B" w14:textId="77777777" w:rsidR="00C11F2A" w:rsidRDefault="00C11F2A" w:rsidP="00C90E91">
      <w:pPr>
        <w:spacing w:after="0" w:line="240" w:lineRule="auto"/>
      </w:pPr>
      <w:r>
        <w:separator/>
      </w:r>
    </w:p>
  </w:endnote>
  <w:endnote w:type="continuationSeparator" w:id="0">
    <w:p w14:paraId="091CCB6A" w14:textId="77777777" w:rsidR="00C11F2A" w:rsidRDefault="00C11F2A" w:rsidP="00C9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w Cen MT">
    <w:panose1 w:val="020B0602020104020603"/>
    <w:charset w:val="EE"/>
    <w:family w:val="swiss"/>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w Cen MT Condensed">
    <w:panose1 w:val="020B0606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85253"/>
      <w:docPartObj>
        <w:docPartGallery w:val="Page Numbers (Bottom of Page)"/>
        <w:docPartUnique/>
      </w:docPartObj>
    </w:sdtPr>
    <w:sdtEndPr>
      <w:rPr>
        <w:color w:val="2683C6" w:themeColor="accent2"/>
        <w:sz w:val="18"/>
        <w:szCs w:val="18"/>
      </w:rPr>
    </w:sdtEndPr>
    <w:sdtContent>
      <w:p w14:paraId="0FC15340" w14:textId="77777777" w:rsidR="00AD4534" w:rsidRDefault="00AD4534">
        <w:pPr>
          <w:pStyle w:val="Pta"/>
          <w:jc w:val="right"/>
        </w:pPr>
      </w:p>
      <w:p w14:paraId="4903AA96" w14:textId="6D43920F" w:rsidR="00AD4534" w:rsidRPr="00F70B80" w:rsidRDefault="00862E14" w:rsidP="00E10D59">
        <w:pPr>
          <w:pStyle w:val="Pta"/>
          <w:jc w:val="center"/>
          <w:rPr>
            <w:sz w:val="18"/>
            <w:szCs w:val="18"/>
          </w:rPr>
        </w:pPr>
        <w:r w:rsidRPr="00F70B80">
          <w:rPr>
            <w:sz w:val="18"/>
            <w:szCs w:val="18"/>
          </w:rPr>
          <w:t>O</w:t>
        </w:r>
        <w:r w:rsidR="00E02D9C" w:rsidRPr="00F70B80">
          <w:rPr>
            <w:sz w:val="18"/>
            <w:szCs w:val="18"/>
          </w:rPr>
          <w:t>D-01-03</w:t>
        </w:r>
        <w:r w:rsidR="00E02D9C" w:rsidRPr="00F70B80">
          <w:rPr>
            <w:sz w:val="18"/>
            <w:szCs w:val="18"/>
          </w:rPr>
          <w:tab/>
        </w:r>
        <w:r w:rsidR="00E02D9C" w:rsidRPr="00F70B80">
          <w:rPr>
            <w:sz w:val="18"/>
            <w:szCs w:val="18"/>
          </w:rPr>
          <w:tab/>
        </w:r>
        <w:r w:rsidR="00AD4534" w:rsidRPr="00F70B80">
          <w:rPr>
            <w:color w:val="2683C6" w:themeColor="accent2"/>
            <w:sz w:val="18"/>
            <w:szCs w:val="18"/>
          </w:rPr>
          <w:fldChar w:fldCharType="begin"/>
        </w:r>
        <w:r w:rsidR="00AD4534" w:rsidRPr="00F70B80">
          <w:rPr>
            <w:color w:val="2683C6" w:themeColor="accent2"/>
            <w:sz w:val="18"/>
            <w:szCs w:val="18"/>
          </w:rPr>
          <w:instrText>PAGE   \* MERGEFORMAT</w:instrText>
        </w:r>
        <w:r w:rsidR="00AD4534" w:rsidRPr="00F70B80">
          <w:rPr>
            <w:color w:val="2683C6" w:themeColor="accent2"/>
            <w:sz w:val="18"/>
            <w:szCs w:val="18"/>
          </w:rPr>
          <w:fldChar w:fldCharType="separate"/>
        </w:r>
        <w:r w:rsidR="0086101D" w:rsidRPr="00F70B80">
          <w:rPr>
            <w:noProof/>
            <w:color w:val="2683C6" w:themeColor="accent2"/>
            <w:sz w:val="18"/>
            <w:szCs w:val="18"/>
          </w:rPr>
          <w:t>2</w:t>
        </w:r>
        <w:r w:rsidR="00AD4534" w:rsidRPr="00F70B80">
          <w:rPr>
            <w:color w:val="2683C6" w:themeColor="accent2"/>
            <w:sz w:val="18"/>
            <w:szCs w:val="18"/>
          </w:rPr>
          <w:fldChar w:fldCharType="end"/>
        </w:r>
        <w:r w:rsidR="00E10D59" w:rsidRPr="00F70B80">
          <w:rPr>
            <w:color w:val="2683C6" w:themeColor="accent2"/>
            <w:sz w:val="18"/>
            <w:szCs w:val="18"/>
          </w:rPr>
          <w:t>/8</w:t>
        </w:r>
      </w:p>
    </w:sdtContent>
  </w:sdt>
  <w:p w14:paraId="2CB4094C" w14:textId="77777777" w:rsidR="00AD4534" w:rsidRDefault="00AD45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82C7" w14:textId="77777777" w:rsidR="00C11F2A" w:rsidRDefault="00C11F2A" w:rsidP="00C90E91">
      <w:pPr>
        <w:spacing w:after="0" w:line="240" w:lineRule="auto"/>
      </w:pPr>
      <w:r>
        <w:separator/>
      </w:r>
    </w:p>
  </w:footnote>
  <w:footnote w:type="continuationSeparator" w:id="0">
    <w:p w14:paraId="44CCC4C1" w14:textId="77777777" w:rsidR="00C11F2A" w:rsidRDefault="00C11F2A" w:rsidP="00C90E91">
      <w:pPr>
        <w:spacing w:after="0" w:line="240" w:lineRule="auto"/>
      </w:pPr>
      <w:r>
        <w:continuationSeparator/>
      </w:r>
    </w:p>
  </w:footnote>
  <w:footnote w:id="1">
    <w:p w14:paraId="0DBF93FB" w14:textId="77777777" w:rsidR="00CA07DA" w:rsidRDefault="00CA07DA">
      <w:pPr>
        <w:pStyle w:val="Textpoznmkypodiarou"/>
      </w:pPr>
      <w:r>
        <w:rPr>
          <w:rStyle w:val="Odkaznapoznmkupodiarou"/>
        </w:rPr>
        <w:footnoteRef/>
      </w:r>
      <w:r>
        <w:t xml:space="preserve"> Článok 15 a </w:t>
      </w:r>
      <w:proofErr w:type="spellStart"/>
      <w:r>
        <w:t>nasl</w:t>
      </w:r>
      <w:proofErr w:type="spellEnd"/>
      <w:r>
        <w:t xml:space="preserve">. Dohovoru Organizácie spojených národov proti korupcii (Oznámenie Ministerstva zahraničných vecí Slovenskej republiky č. 434/2006 Z. z.).  </w:t>
      </w:r>
    </w:p>
  </w:footnote>
  <w:footnote w:id="2">
    <w:p w14:paraId="099CABAD" w14:textId="77777777" w:rsidR="00CA07DA" w:rsidRDefault="00CA07DA">
      <w:pPr>
        <w:pStyle w:val="Textpoznmkypodiarou"/>
      </w:pPr>
      <w:r>
        <w:rPr>
          <w:rStyle w:val="Odkaznapoznmkupodiarou"/>
        </w:rPr>
        <w:footnoteRef/>
      </w:r>
      <w:r>
        <w:t xml:space="preserve"> </w:t>
      </w:r>
      <w:r>
        <w:rPr>
          <w:sz w:val="16"/>
          <w:szCs w:val="16"/>
        </w:rPr>
        <w:t xml:space="preserve">Dokument EK - </w:t>
      </w:r>
      <w:r>
        <w:rPr>
          <w:i/>
          <w:iCs/>
          <w:sz w:val="16"/>
          <w:szCs w:val="16"/>
        </w:rPr>
        <w:t>Posúdenie rizika podvodu a účinné a primerané opatrenia proti podvodom</w:t>
      </w:r>
      <w:r>
        <w:rPr>
          <w:sz w:val="16"/>
          <w:szCs w:val="16"/>
        </w:rPr>
        <w:t xml:space="preserve">, Európske štrukturálne a investičné fondy – usmernenia pre členské štáty a orgány zapojené do programu, 16.06.2014, Európska komisia, EGESIF 14-0021-00 (https://ec.europa.eu/sfc/sites/sfc2014/files/sfc-files/guidance_fraud_risk_assessment_sk.pdf). </w:t>
      </w:r>
      <w:r>
        <w:t xml:space="preserve"> </w:t>
      </w:r>
    </w:p>
  </w:footnote>
  <w:footnote w:id="3">
    <w:p w14:paraId="5A72C320" w14:textId="77777777" w:rsidR="00CA07DA" w:rsidRDefault="00CA07DA">
      <w:pPr>
        <w:pStyle w:val="Textpoznmkypodiarou"/>
      </w:pPr>
      <w:r>
        <w:rPr>
          <w:rStyle w:val="Odkaznapoznmkupodiarou"/>
        </w:rPr>
        <w:footnoteRef/>
      </w:r>
      <w:r>
        <w:t xml:space="preserve"> Vykonávacie nariadenie Komisie (EÚ) č. 402/2013 z 30. apríla 2013 o spoločnej bezpečnostnej metóde hodnotenia a posudzovania rizík, ktorým sa zrušuje nariadenie (ES) č. 352/2009.</w:t>
      </w:r>
    </w:p>
  </w:footnote>
  <w:footnote w:id="4">
    <w:p w14:paraId="7FB48642" w14:textId="77777777" w:rsidR="00CA07DA" w:rsidRDefault="00CA07DA">
      <w:pPr>
        <w:pStyle w:val="Textpoznmkypodiarou"/>
      </w:pPr>
      <w:r>
        <w:rPr>
          <w:rStyle w:val="Odkaznapoznmkupodiarou"/>
        </w:rPr>
        <w:footnoteRef/>
      </w:r>
      <w:r>
        <w:t xml:space="preserve"> Jure </w:t>
      </w:r>
      <w:proofErr w:type="spellStart"/>
      <w:r>
        <w:t>Škrbec</w:t>
      </w:r>
      <w:proofErr w:type="spellEnd"/>
      <w:r>
        <w:t xml:space="preserve"> (2016), </w:t>
      </w:r>
      <w:proofErr w:type="spellStart"/>
      <w:r>
        <w:t>Corruption</w:t>
      </w:r>
      <w:proofErr w:type="spellEnd"/>
      <w:r>
        <w:t xml:space="preserve"> Risk Management: </w:t>
      </w:r>
      <w:proofErr w:type="spellStart"/>
      <w:r>
        <w:t>Addendum</w:t>
      </w:r>
      <w:proofErr w:type="spellEnd"/>
      <w:r>
        <w:t xml:space="preserve"> to </w:t>
      </w:r>
      <w:proofErr w:type="spellStart"/>
      <w:r>
        <w:t>the</w:t>
      </w:r>
      <w:proofErr w:type="spellEnd"/>
      <w:r>
        <w:t xml:space="preserve"> Risk Management </w:t>
      </w:r>
      <w:proofErr w:type="spellStart"/>
      <w:r>
        <w:t>Guidelines</w:t>
      </w:r>
      <w:proofErr w:type="spellEnd"/>
      <w:r>
        <w:t>, https://www.dksk.mk/fileadmin/user_upload/1_CORRUPTION_RISK_MANAGEMENT_-_Adendum.pdf. Táto definícia sa vzťahuje analogicky aj na riadenie korupčných rizík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FBB1" w14:textId="4D05AD53" w:rsidR="00AD4534" w:rsidRPr="00F70B80" w:rsidRDefault="00AD4534" w:rsidP="00AD4534">
    <w:pPr>
      <w:pStyle w:val="Hlavika"/>
      <w:tabs>
        <w:tab w:val="clear" w:pos="9072"/>
      </w:tabs>
      <w:ind w:right="-426"/>
      <w:rPr>
        <w:sz w:val="16"/>
        <w:szCs w:val="16"/>
      </w:rPr>
    </w:pPr>
    <w:r>
      <w:rPr>
        <w:noProof/>
        <w:lang w:eastAsia="sk-SK"/>
      </w:rPr>
      <w:drawing>
        <wp:inline distT="0" distB="0" distL="0" distR="0" wp14:anchorId="0D548FFB" wp14:editId="00245AE4">
          <wp:extent cx="1371600" cy="657225"/>
          <wp:effectExtent l="0" t="0" r="0" b="0"/>
          <wp:docPr id="19" name="Obrázok 19" descr="SLM_logo_nove_color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 descr="SLM_logo_nove_color_RGB"/>
                  <pic:cNvPicPr>
                    <a:picLocks noChangeAspect="1" noChangeArrowheads="1"/>
                  </pic:cNvPicPr>
                </pic:nvPicPr>
                <pic:blipFill>
                  <a:blip r:embed="rId1">
                    <a:clrChange>
                      <a:clrFrom>
                        <a:srgbClr val="FFFFFF"/>
                      </a:clrFrom>
                      <a:clrTo>
                        <a:srgbClr val="FFFFFF">
                          <a:alpha val="0"/>
                        </a:srgbClr>
                      </a:clrTo>
                    </a:clrChange>
                    <a:duotone>
                      <a:schemeClr val="accent2">
                        <a:shade val="45000"/>
                        <a:satMod val="135000"/>
                      </a:schemeClr>
                      <a:prstClr val="white"/>
                    </a:duotone>
                  </a:blip>
                  <a:srcRect/>
                  <a:stretch>
                    <a:fillRect/>
                  </a:stretch>
                </pic:blipFill>
                <pic:spPr bwMode="auto">
                  <a:xfrm>
                    <a:off x="0" y="0"/>
                    <a:ext cx="1371600" cy="657225"/>
                  </a:xfrm>
                  <a:prstGeom prst="rect">
                    <a:avLst/>
                  </a:prstGeom>
                  <a:noFill/>
                  <a:ln w="9525">
                    <a:noFill/>
                    <a:miter lim="800000"/>
                    <a:headEnd/>
                    <a:tailEnd/>
                  </a:ln>
                </pic:spPr>
              </pic:pic>
            </a:graphicData>
          </a:graphic>
        </wp:inline>
      </w:drawing>
    </w:r>
    <w:r w:rsidR="00E10D59">
      <w:rPr>
        <w:color w:val="1C6194" w:themeColor="accent2" w:themeShade="BF"/>
        <w:sz w:val="16"/>
        <w:szCs w:val="16"/>
      </w:rPr>
      <w:tab/>
    </w:r>
    <w:r w:rsidR="00E10D59">
      <w:rPr>
        <w:color w:val="1C6194" w:themeColor="accent2" w:themeShade="BF"/>
        <w:sz w:val="16"/>
        <w:szCs w:val="16"/>
      </w:rPr>
      <w:tab/>
    </w:r>
    <w:r w:rsidR="00E10D59">
      <w:rPr>
        <w:color w:val="1C6194" w:themeColor="accent2" w:themeShade="BF"/>
        <w:sz w:val="16"/>
        <w:szCs w:val="16"/>
      </w:rPr>
      <w:tab/>
    </w:r>
    <w:r w:rsidR="00E10D59">
      <w:rPr>
        <w:color w:val="1C6194" w:themeColor="accent2" w:themeShade="BF"/>
        <w:sz w:val="16"/>
        <w:szCs w:val="16"/>
      </w:rPr>
      <w:tab/>
    </w:r>
    <w:r w:rsidR="00E10D59">
      <w:rPr>
        <w:color w:val="1C6194" w:themeColor="accent2" w:themeShade="BF"/>
        <w:sz w:val="16"/>
        <w:szCs w:val="16"/>
      </w:rPr>
      <w:tab/>
    </w:r>
    <w:r w:rsidR="00E10D59">
      <w:rPr>
        <w:color w:val="1C6194" w:themeColor="accent2" w:themeShade="BF"/>
        <w:sz w:val="16"/>
        <w:szCs w:val="16"/>
      </w:rPr>
      <w:tab/>
    </w:r>
    <w:r w:rsidR="00E10D59" w:rsidRPr="00F70B80">
      <w:rPr>
        <w:sz w:val="16"/>
        <w:szCs w:val="16"/>
      </w:rPr>
      <w:t>V0</w:t>
    </w:r>
    <w:r w:rsidR="00F70B80" w:rsidRPr="00F70B80">
      <w:rPr>
        <w:sz w:val="16"/>
        <w:szCs w:val="16"/>
      </w:rPr>
      <w:t>3</w:t>
    </w:r>
    <w:r w:rsidR="00E10D59" w:rsidRPr="00F70B80">
      <w:rPr>
        <w:sz w:val="16"/>
        <w:szCs w:val="16"/>
      </w:rPr>
      <w:t>/</w:t>
    </w:r>
    <w:r w:rsidR="00862E14" w:rsidRPr="00F70B80">
      <w:rPr>
        <w:sz w:val="16"/>
        <w:szCs w:val="16"/>
      </w:rPr>
      <w:t>2</w:t>
    </w:r>
    <w:r w:rsidR="00F70B80" w:rsidRPr="00F70B80">
      <w:rPr>
        <w:sz w:val="16"/>
        <w:szCs w:val="16"/>
      </w:rPr>
      <w:t>3</w:t>
    </w:r>
    <w:r w:rsidR="00862E14" w:rsidRPr="00F70B80">
      <w:rPr>
        <w:sz w:val="16"/>
        <w:szCs w:val="16"/>
      </w:rPr>
      <w:t>-0</w:t>
    </w:r>
    <w:r w:rsidR="00F70B80" w:rsidRPr="00F70B80">
      <w:rPr>
        <w:sz w:val="16"/>
        <w:szCs w:val="16"/>
      </w:rPr>
      <w:t>3</w:t>
    </w:r>
    <w:r w:rsidR="00862E14" w:rsidRPr="00F70B80">
      <w:rPr>
        <w:sz w:val="16"/>
        <w:szCs w:val="16"/>
      </w:rPr>
      <w:t>-</w:t>
    </w:r>
    <w:r w:rsidR="00F70B80" w:rsidRPr="00F70B80">
      <w:rPr>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BD7"/>
    <w:multiLevelType w:val="hybridMultilevel"/>
    <w:tmpl w:val="8C9CCD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D13F79"/>
    <w:multiLevelType w:val="hybridMultilevel"/>
    <w:tmpl w:val="49EEBB30"/>
    <w:lvl w:ilvl="0" w:tplc="0170641E">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0A35504"/>
    <w:multiLevelType w:val="multilevel"/>
    <w:tmpl w:val="8BB4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862B1"/>
    <w:multiLevelType w:val="hybridMultilevel"/>
    <w:tmpl w:val="D21873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DB2455"/>
    <w:multiLevelType w:val="hybridMultilevel"/>
    <w:tmpl w:val="22B03D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392978"/>
    <w:multiLevelType w:val="hybridMultilevel"/>
    <w:tmpl w:val="DE10C6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703FE3"/>
    <w:multiLevelType w:val="hybridMultilevel"/>
    <w:tmpl w:val="319A513A"/>
    <w:lvl w:ilvl="0" w:tplc="026896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71F6BC1"/>
    <w:multiLevelType w:val="multilevel"/>
    <w:tmpl w:val="35CC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455CCA"/>
    <w:multiLevelType w:val="hybridMultilevel"/>
    <w:tmpl w:val="97669F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80456753">
    <w:abstractNumId w:val="7"/>
  </w:num>
  <w:num w:numId="2" w16cid:durableId="1488932354">
    <w:abstractNumId w:val="3"/>
  </w:num>
  <w:num w:numId="3" w16cid:durableId="423309206">
    <w:abstractNumId w:val="5"/>
  </w:num>
  <w:num w:numId="4" w16cid:durableId="771433212">
    <w:abstractNumId w:val="4"/>
  </w:num>
  <w:num w:numId="5" w16cid:durableId="913275900">
    <w:abstractNumId w:val="0"/>
  </w:num>
  <w:num w:numId="6" w16cid:durableId="1045713964">
    <w:abstractNumId w:val="8"/>
  </w:num>
  <w:num w:numId="7" w16cid:durableId="89935356">
    <w:abstractNumId w:val="1"/>
  </w:num>
  <w:num w:numId="8" w16cid:durableId="1325355268">
    <w:abstractNumId w:val="2"/>
  </w:num>
  <w:num w:numId="9" w16cid:durableId="780225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8E"/>
    <w:rsid w:val="000723FD"/>
    <w:rsid w:val="000E7CB3"/>
    <w:rsid w:val="00140168"/>
    <w:rsid w:val="0015618A"/>
    <w:rsid w:val="001668DB"/>
    <w:rsid w:val="00170E73"/>
    <w:rsid w:val="00185866"/>
    <w:rsid w:val="001F13DA"/>
    <w:rsid w:val="002030FB"/>
    <w:rsid w:val="002555D7"/>
    <w:rsid w:val="002C1F7B"/>
    <w:rsid w:val="0036509F"/>
    <w:rsid w:val="003B7850"/>
    <w:rsid w:val="00403C57"/>
    <w:rsid w:val="00421452"/>
    <w:rsid w:val="00423B61"/>
    <w:rsid w:val="00425474"/>
    <w:rsid w:val="00436015"/>
    <w:rsid w:val="004B1119"/>
    <w:rsid w:val="004D731A"/>
    <w:rsid w:val="00525A0A"/>
    <w:rsid w:val="0057589B"/>
    <w:rsid w:val="005E0BE6"/>
    <w:rsid w:val="005E1553"/>
    <w:rsid w:val="0061322A"/>
    <w:rsid w:val="006446BE"/>
    <w:rsid w:val="00665DCE"/>
    <w:rsid w:val="00691304"/>
    <w:rsid w:val="007B660F"/>
    <w:rsid w:val="0086101D"/>
    <w:rsid w:val="00862E14"/>
    <w:rsid w:val="008E6FD9"/>
    <w:rsid w:val="008F19C6"/>
    <w:rsid w:val="00973473"/>
    <w:rsid w:val="009C08AF"/>
    <w:rsid w:val="009D5FBF"/>
    <w:rsid w:val="00A05C4B"/>
    <w:rsid w:val="00A2641B"/>
    <w:rsid w:val="00A754F9"/>
    <w:rsid w:val="00AD4534"/>
    <w:rsid w:val="00B57225"/>
    <w:rsid w:val="00BB1BC2"/>
    <w:rsid w:val="00C06042"/>
    <w:rsid w:val="00C11F2A"/>
    <w:rsid w:val="00C33F81"/>
    <w:rsid w:val="00C500FD"/>
    <w:rsid w:val="00C90E91"/>
    <w:rsid w:val="00CA07DA"/>
    <w:rsid w:val="00D7208E"/>
    <w:rsid w:val="00D951B8"/>
    <w:rsid w:val="00E02D9C"/>
    <w:rsid w:val="00E10D59"/>
    <w:rsid w:val="00E42AD5"/>
    <w:rsid w:val="00E86832"/>
    <w:rsid w:val="00E96230"/>
    <w:rsid w:val="00EC5764"/>
    <w:rsid w:val="00F4117D"/>
    <w:rsid w:val="00F70B80"/>
    <w:rsid w:val="00FF7C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6F2A7"/>
  <w15:chartTrackingRefBased/>
  <w15:docId w15:val="{8C41162F-FFEC-4F68-AB27-B0E3BA0A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6042"/>
  </w:style>
  <w:style w:type="paragraph" w:styleId="Nadpis2">
    <w:name w:val="heading 2"/>
    <w:basedOn w:val="Normlny"/>
    <w:link w:val="Nadpis2Char"/>
    <w:uiPriority w:val="9"/>
    <w:qFormat/>
    <w:rsid w:val="00F4117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4B1119"/>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B1119"/>
    <w:rPr>
      <w:rFonts w:eastAsiaTheme="minorEastAsia"/>
      <w:lang w:eastAsia="sk-SK"/>
    </w:rPr>
  </w:style>
  <w:style w:type="character" w:styleId="Vrazn">
    <w:name w:val="Strong"/>
    <w:basedOn w:val="Predvolenpsmoodseku"/>
    <w:uiPriority w:val="22"/>
    <w:qFormat/>
    <w:rsid w:val="004B1119"/>
    <w:rPr>
      <w:b/>
      <w:bCs/>
    </w:rPr>
  </w:style>
  <w:style w:type="paragraph" w:customStyle="1" w:styleId="Default">
    <w:name w:val="Default"/>
    <w:rsid w:val="006446BE"/>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basedOn w:val="Normlny"/>
    <w:link w:val="TextpoznmkypodiarouChar"/>
    <w:uiPriority w:val="99"/>
    <w:semiHidden/>
    <w:unhideWhenUsed/>
    <w:rsid w:val="00C90E9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0E91"/>
    <w:rPr>
      <w:sz w:val="20"/>
      <w:szCs w:val="20"/>
    </w:rPr>
  </w:style>
  <w:style w:type="character" w:styleId="Odkaznapoznmkupodiarou">
    <w:name w:val="footnote reference"/>
    <w:basedOn w:val="Predvolenpsmoodseku"/>
    <w:uiPriority w:val="99"/>
    <w:semiHidden/>
    <w:unhideWhenUsed/>
    <w:rsid w:val="00C90E91"/>
    <w:rPr>
      <w:vertAlign w:val="superscript"/>
    </w:rPr>
  </w:style>
  <w:style w:type="paragraph" w:styleId="Normlnywebov">
    <w:name w:val="Normal (Web)"/>
    <w:basedOn w:val="Normlny"/>
    <w:uiPriority w:val="99"/>
    <w:semiHidden/>
    <w:unhideWhenUsed/>
    <w:rsid w:val="00E9623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
    <w:uiPriority w:val="22"/>
    <w:qFormat/>
    <w:rsid w:val="00A2641B"/>
  </w:style>
  <w:style w:type="character" w:customStyle="1" w:styleId="Nadpis2Char">
    <w:name w:val="Nadpis 2 Char"/>
    <w:basedOn w:val="Predvolenpsmoodseku"/>
    <w:link w:val="Nadpis2"/>
    <w:uiPriority w:val="9"/>
    <w:rsid w:val="00F4117D"/>
    <w:rPr>
      <w:rFonts w:ascii="Times New Roman" w:eastAsia="Times New Roman" w:hAnsi="Times New Roman" w:cs="Times New Roman"/>
      <w:b/>
      <w:bCs/>
      <w:sz w:val="36"/>
      <w:szCs w:val="36"/>
      <w:lang w:eastAsia="sk-SK"/>
    </w:rPr>
  </w:style>
  <w:style w:type="character" w:styleId="Hypertextovprepojenie">
    <w:name w:val="Hyperlink"/>
    <w:basedOn w:val="Predvolenpsmoodseku"/>
    <w:uiPriority w:val="99"/>
    <w:unhideWhenUsed/>
    <w:rsid w:val="003B7850"/>
    <w:rPr>
      <w:color w:val="0000FF"/>
      <w:u w:val="single"/>
    </w:rPr>
  </w:style>
  <w:style w:type="paragraph" w:styleId="Hlavika">
    <w:name w:val="header"/>
    <w:basedOn w:val="Normlny"/>
    <w:link w:val="HlavikaChar"/>
    <w:uiPriority w:val="99"/>
    <w:unhideWhenUsed/>
    <w:rsid w:val="00AD45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D4534"/>
  </w:style>
  <w:style w:type="paragraph" w:styleId="Pta">
    <w:name w:val="footer"/>
    <w:basedOn w:val="Normlny"/>
    <w:link w:val="PtaChar"/>
    <w:uiPriority w:val="99"/>
    <w:unhideWhenUsed/>
    <w:rsid w:val="00AD4534"/>
    <w:pPr>
      <w:tabs>
        <w:tab w:val="center" w:pos="4536"/>
        <w:tab w:val="right" w:pos="9072"/>
      </w:tabs>
      <w:spacing w:after="0" w:line="240" w:lineRule="auto"/>
    </w:pPr>
  </w:style>
  <w:style w:type="character" w:customStyle="1" w:styleId="PtaChar">
    <w:name w:val="Päta Char"/>
    <w:basedOn w:val="Predvolenpsmoodseku"/>
    <w:link w:val="Pta"/>
    <w:uiPriority w:val="99"/>
    <w:rsid w:val="00AD4534"/>
  </w:style>
  <w:style w:type="paragraph" w:styleId="Textbubliny">
    <w:name w:val="Balloon Text"/>
    <w:basedOn w:val="Normlny"/>
    <w:link w:val="TextbublinyChar"/>
    <w:uiPriority w:val="99"/>
    <w:semiHidden/>
    <w:unhideWhenUsed/>
    <w:rsid w:val="00665DCE"/>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65DCE"/>
    <w:rPr>
      <w:rFonts w:ascii="Times New Roman" w:hAnsi="Times New Roman" w:cs="Times New Roman"/>
      <w:sz w:val="18"/>
      <w:szCs w:val="18"/>
    </w:rPr>
  </w:style>
  <w:style w:type="character" w:styleId="PouitHypertextovPrepojenie">
    <w:name w:val="FollowedHyperlink"/>
    <w:basedOn w:val="Predvolenpsmoodseku"/>
    <w:uiPriority w:val="99"/>
    <w:semiHidden/>
    <w:unhideWhenUsed/>
    <w:rsid w:val="00170E73"/>
    <w:rPr>
      <w:color w:val="B26B02" w:themeColor="followedHyperlink"/>
      <w:u w:val="single"/>
    </w:rPr>
  </w:style>
  <w:style w:type="character" w:styleId="Nevyrieenzmienka">
    <w:name w:val="Unresolved Mention"/>
    <w:basedOn w:val="Predvolenpsmoodseku"/>
    <w:uiPriority w:val="99"/>
    <w:semiHidden/>
    <w:unhideWhenUsed/>
    <w:rsid w:val="00170E73"/>
    <w:rPr>
      <w:color w:val="605E5C"/>
      <w:shd w:val="clear" w:color="auto" w:fill="E1DFDD"/>
    </w:rPr>
  </w:style>
  <w:style w:type="paragraph" w:styleId="Revzia">
    <w:name w:val="Revision"/>
    <w:hidden/>
    <w:uiPriority w:val="99"/>
    <w:semiHidden/>
    <w:rsid w:val="00613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6848">
      <w:bodyDiv w:val="1"/>
      <w:marLeft w:val="0"/>
      <w:marRight w:val="0"/>
      <w:marTop w:val="0"/>
      <w:marBottom w:val="0"/>
      <w:divBdr>
        <w:top w:val="none" w:sz="0" w:space="0" w:color="auto"/>
        <w:left w:val="none" w:sz="0" w:space="0" w:color="auto"/>
        <w:bottom w:val="none" w:sz="0" w:space="0" w:color="auto"/>
        <w:right w:val="none" w:sz="0" w:space="0" w:color="auto"/>
      </w:divBdr>
    </w:div>
    <w:div w:id="512843196">
      <w:bodyDiv w:val="1"/>
      <w:marLeft w:val="0"/>
      <w:marRight w:val="0"/>
      <w:marTop w:val="0"/>
      <w:marBottom w:val="0"/>
      <w:divBdr>
        <w:top w:val="none" w:sz="0" w:space="0" w:color="auto"/>
        <w:left w:val="none" w:sz="0" w:space="0" w:color="auto"/>
        <w:bottom w:val="none" w:sz="0" w:space="0" w:color="auto"/>
        <w:right w:val="none" w:sz="0" w:space="0" w:color="auto"/>
      </w:divBdr>
    </w:div>
    <w:div w:id="912936709">
      <w:bodyDiv w:val="1"/>
      <w:marLeft w:val="0"/>
      <w:marRight w:val="0"/>
      <w:marTop w:val="0"/>
      <w:marBottom w:val="0"/>
      <w:divBdr>
        <w:top w:val="none" w:sz="0" w:space="0" w:color="auto"/>
        <w:left w:val="none" w:sz="0" w:space="0" w:color="auto"/>
        <w:bottom w:val="none" w:sz="0" w:space="0" w:color="auto"/>
        <w:right w:val="none" w:sz="0" w:space="0" w:color="auto"/>
      </w:divBdr>
    </w:div>
    <w:div w:id="1715349733">
      <w:bodyDiv w:val="1"/>
      <w:marLeft w:val="0"/>
      <w:marRight w:val="0"/>
      <w:marTop w:val="0"/>
      <w:marBottom w:val="0"/>
      <w:divBdr>
        <w:top w:val="none" w:sz="0" w:space="0" w:color="auto"/>
        <w:left w:val="none" w:sz="0" w:space="0" w:color="auto"/>
        <w:bottom w:val="none" w:sz="0" w:space="0" w:color="auto"/>
        <w:right w:val="none" w:sz="0" w:space="0" w:color="auto"/>
      </w:divBdr>
    </w:div>
    <w:div w:id="18300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jprotikorupcii.gov.sk/19499-sk/metodicke-odporucanie-k-riadeniu-korupcnych-rizik/?csrt=77423435111389883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ál">
  <a:themeElements>
    <a:clrScheme name="Integrá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á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á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C10B-3878-4FA9-B778-9ED92D33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2208</Words>
  <Characters>12591</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Jana Tomášová</cp:lastModifiedBy>
  <cp:revision>2</cp:revision>
  <cp:lastPrinted>2019-12-16T10:31:00Z</cp:lastPrinted>
  <dcterms:created xsi:type="dcterms:W3CDTF">2023-07-03T04:56:00Z</dcterms:created>
  <dcterms:modified xsi:type="dcterms:W3CDTF">2023-07-03T04:56:00Z</dcterms:modified>
</cp:coreProperties>
</file>